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936DCA" w:rsidP="006B0EB6">
      <w:pPr>
        <w:jc w:val="right"/>
      </w:pPr>
      <w:r>
        <w:t>April 2</w:t>
      </w:r>
      <w:r w:rsidR="003B6207" w:rsidRPr="003B6207">
        <w:t xml:space="preserve">, </w:t>
      </w:r>
      <w:r>
        <w:t>2014</w:t>
      </w:r>
    </w:p>
    <w:p w:rsidR="003B6207" w:rsidRPr="003B6207" w:rsidRDefault="003B6207" w:rsidP="006B0EB6">
      <w:r w:rsidRPr="005A2902">
        <w:rPr>
          <w:b/>
        </w:rPr>
        <w:t>TO:</w:t>
      </w:r>
      <w:r>
        <w:tab/>
      </w:r>
      <w:r>
        <w:tab/>
      </w:r>
      <w:r w:rsidR="00936DCA">
        <w:t xml:space="preserve">Richard Evans, Stephen Roark, and Mark </w:t>
      </w:r>
      <w:proofErr w:type="spellStart"/>
      <w:r w:rsidR="00936DCA">
        <w:t>Grueskin</w:t>
      </w:r>
      <w:proofErr w:type="spellEnd"/>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936DCA">
        <w:t>2013-2014 #139</w:t>
      </w:r>
      <w:r w:rsidRPr="003B6207">
        <w:t xml:space="preserve">, concerning </w:t>
      </w:r>
      <w:r w:rsidR="00936DCA">
        <w:t>Local Voter Approval for Gambling</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936DCA" w:rsidRDefault="003B6207" w:rsidP="006B0EB6">
      <w:r>
        <w:t xml:space="preserve">This initiative was submitted with a series of initiatives including proposed initiatives </w:t>
      </w:r>
      <w:r w:rsidR="00936DCA">
        <w:rPr>
          <w:u w:val="single"/>
        </w:rPr>
        <w:t>2013-2014</w:t>
      </w:r>
      <w:r w:rsidRPr="003B6207">
        <w:rPr>
          <w:u w:val="single"/>
        </w:rPr>
        <w:t xml:space="preserve"> #</w:t>
      </w:r>
      <w:r w:rsidR="00936DCA">
        <w:rPr>
          <w:u w:val="single"/>
        </w:rPr>
        <w:t>138</w:t>
      </w:r>
      <w:r w:rsidR="00936DCA" w:rsidRPr="00000ECA">
        <w:t xml:space="preserve"> and </w:t>
      </w:r>
      <w:r w:rsidR="00936DCA" w:rsidRPr="00486DAD">
        <w:rPr>
          <w:u w:val="single"/>
        </w:rPr>
        <w:t>140</w:t>
      </w:r>
      <w:r w:rsidRPr="00486DAD">
        <w:rPr>
          <w:u w:val="single"/>
        </w:rPr>
        <w:t xml:space="preserve"> to </w:t>
      </w:r>
      <w:r w:rsidR="00936DCA" w:rsidRPr="00486DAD">
        <w:rPr>
          <w:u w:val="single"/>
        </w:rPr>
        <w:t>142</w:t>
      </w:r>
      <w:r>
        <w:t xml:space="preserve">. The comments and questions raised in this memorandum will not include comments and questions that were addressed in the memoranda for proposed initiatives </w:t>
      </w:r>
      <w:r w:rsidR="00936DCA">
        <w:rPr>
          <w:u w:val="single"/>
        </w:rPr>
        <w:t>2013-2014</w:t>
      </w:r>
      <w:r w:rsidR="00936DCA" w:rsidRPr="003B6207">
        <w:rPr>
          <w:u w:val="single"/>
        </w:rPr>
        <w:t xml:space="preserve"> #</w:t>
      </w:r>
      <w:r w:rsidR="00936DCA">
        <w:rPr>
          <w:u w:val="single"/>
        </w:rPr>
        <w:t>138</w:t>
      </w:r>
      <w:r w:rsidR="00936DCA" w:rsidRPr="00000ECA">
        <w:t xml:space="preserve"> and </w:t>
      </w:r>
      <w:r w:rsidR="00936DCA" w:rsidRPr="00486DAD">
        <w:rPr>
          <w:u w:val="single"/>
        </w:rPr>
        <w:t>140 to 142</w:t>
      </w:r>
      <w:r>
        <w:t>, except as necessary to fully understand the issues raised by the revised proposed initiative. Comments and questions addressed in those other memoranda may also be relevant, and those questions and comments are hereby incorporated by reference in this memorandum. Only new comments and questions are included in this memorandum</w:t>
      </w:r>
      <w:r w:rsidR="00936DCA">
        <w:t>.</w:t>
      </w:r>
      <w:r>
        <w:t xml:space="preserve"> </w:t>
      </w:r>
    </w:p>
    <w:p w:rsidR="003B6207" w:rsidRPr="005A2902" w:rsidRDefault="003B6207" w:rsidP="00D13282">
      <w:pPr>
        <w:pStyle w:val="Heading1"/>
      </w:pPr>
      <w:r w:rsidRPr="005A2902">
        <w:lastRenderedPageBreak/>
        <w:t>Purposes</w:t>
      </w:r>
    </w:p>
    <w:p w:rsidR="003B6207" w:rsidRDefault="003B6207" w:rsidP="006B0EB6">
      <w:r>
        <w:t xml:space="preserve">The major purposes of the proposed amendment to the </w:t>
      </w:r>
      <w:r w:rsidRPr="00455F0B">
        <w:rPr>
          <w:b/>
        </w:rPr>
        <w:t xml:space="preserve">Colorado </w:t>
      </w:r>
      <w:r w:rsidR="00FF37AB">
        <w:rPr>
          <w:b/>
        </w:rPr>
        <w:t xml:space="preserve">constitution </w:t>
      </w:r>
      <w:r>
        <w:t>appear to be:</w:t>
      </w:r>
    </w:p>
    <w:p w:rsidR="00455F0B" w:rsidRDefault="00FF37AB" w:rsidP="005A2902">
      <w:pPr>
        <w:pStyle w:val="ListParagraph"/>
        <w:numPr>
          <w:ilvl w:val="0"/>
          <w:numId w:val="5"/>
        </w:numPr>
      </w:pPr>
      <w:r>
        <w:t>To prohibit statewide elections to legalize any type of gambling from taking effect without an additional local vote;</w:t>
      </w:r>
      <w:r w:rsidR="00571613">
        <w:t xml:space="preserve"> and</w:t>
      </w:r>
    </w:p>
    <w:p w:rsidR="005A2902" w:rsidRDefault="005A2902" w:rsidP="005A2902">
      <w:pPr>
        <w:pStyle w:val="ListParagraph"/>
        <w:numPr>
          <w:ilvl w:val="0"/>
          <w:numId w:val="5"/>
        </w:numPr>
      </w:pPr>
      <w:r>
        <w:t xml:space="preserve"> </w:t>
      </w:r>
      <w:r w:rsidR="00FF37AB">
        <w:t>To apply the prohibition to any new authorization for gambling approved on or after the</w:t>
      </w:r>
      <w:r w:rsidR="00571613">
        <w:t xml:space="preserve"> November 4, 2014, election.</w:t>
      </w:r>
    </w:p>
    <w:p w:rsidR="003B6207" w:rsidRPr="005A2902" w:rsidRDefault="003B6207" w:rsidP="00571613">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Default="00084960" w:rsidP="006B0EB6">
      <w:pPr>
        <w:pStyle w:val="ListParagraph"/>
        <w:numPr>
          <w:ilvl w:val="0"/>
          <w:numId w:val="3"/>
        </w:numPr>
      </w:pPr>
      <w:r>
        <w:t>It is standard drafting practice t</w:t>
      </w:r>
      <w:r w:rsidR="00486DAD">
        <w:t>o set off a year with commas. I</w:t>
      </w:r>
      <w:r>
        <w:t>n subsection (2) of the proposed initiative, there should be a comma after "2014."</w:t>
      </w:r>
    </w:p>
    <w:p w:rsidR="00455F0B" w:rsidRDefault="001F0C44" w:rsidP="006B0EB6">
      <w:pPr>
        <w:pStyle w:val="ListParagraph"/>
        <w:numPr>
          <w:ilvl w:val="0"/>
          <w:numId w:val="3"/>
        </w:numPr>
      </w:pPr>
      <w:r>
        <w:rPr>
          <w:sz w:val="24"/>
          <w:lang w:val="en-CA"/>
        </w:rPr>
        <w:fldChar w:fldCharType="begin"/>
      </w:r>
      <w:r>
        <w:rPr>
          <w:sz w:val="24"/>
          <w:lang w:val="en-CA"/>
        </w:rPr>
        <w:instrText xml:space="preserve"> SEQ CHAPTER \h \r 1</w:instrText>
      </w:r>
      <w:r>
        <w:rPr>
          <w:sz w:val="24"/>
          <w:lang w:val="en-CA"/>
        </w:rPr>
        <w:fldChar w:fldCharType="end"/>
      </w:r>
      <w:r>
        <w:rPr>
          <w:szCs w:val="26"/>
        </w:rPr>
        <w:t>Although some courts have held that punctuation is not a part of a statute, punctuation is, of course, necessary, and the Colorado Supreme Court has, at least on one occasion, interpreted a proposed constitutional amendment on the basis of punctuation (</w:t>
      </w:r>
      <w:r>
        <w:rPr>
          <w:i/>
          <w:iCs/>
          <w:szCs w:val="26"/>
        </w:rPr>
        <w:t>In re Senate Concurrent Resolution No. 10</w:t>
      </w:r>
      <w:r>
        <w:rPr>
          <w:szCs w:val="26"/>
        </w:rPr>
        <w:t>, 137 Colo. 491, 328 P.2d 103 (1958)). To conform to stan</w:t>
      </w:r>
      <w:r w:rsidR="00486DAD">
        <w:rPr>
          <w:szCs w:val="26"/>
        </w:rPr>
        <w:t>dard drafting procedure, a semi</w:t>
      </w:r>
      <w:r>
        <w:rPr>
          <w:szCs w:val="26"/>
        </w:rPr>
        <w:t xml:space="preserve">colon should be used before the </w:t>
      </w:r>
      <w:r w:rsidR="00486DAD">
        <w:rPr>
          <w:szCs w:val="26"/>
        </w:rPr>
        <w:t>phrase</w:t>
      </w:r>
      <w:r>
        <w:rPr>
          <w:szCs w:val="26"/>
        </w:rPr>
        <w:t xml:space="preserve"> "except that" in subsection (3) of the proposed initiative.</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100194" w:rsidRDefault="00100194" w:rsidP="00100194">
      <w:pPr>
        <w:pStyle w:val="ListParagraph"/>
        <w:numPr>
          <w:ilvl w:val="0"/>
          <w:numId w:val="4"/>
        </w:numPr>
      </w:pPr>
      <w:r>
        <w:t>Article V, section 1 (5.5) of the Colorado constitution requires all proposed initiatives to have a single subject. What is the single subject of the proposed initiative?</w:t>
      </w:r>
    </w:p>
    <w:p w:rsidR="008E296A" w:rsidRDefault="006B0EB6" w:rsidP="00100194">
      <w:pPr>
        <w:pStyle w:val="ListParagraph"/>
        <w:numPr>
          <w:ilvl w:val="0"/>
          <w:numId w:val="4"/>
        </w:numPr>
        <w:suppressLineNumbers/>
        <w:contextualSpacing/>
      </w:pPr>
      <w:r>
        <w:t xml:space="preserve"> </w:t>
      </w:r>
      <w:r w:rsidR="00000ECA">
        <w:t>“Gambling” is defined i</w:t>
      </w:r>
      <w:r w:rsidR="00486DAD">
        <w:t xml:space="preserve">n section 18-10-102 (2), Colorado Revised </w:t>
      </w:r>
      <w:r w:rsidR="00000ECA">
        <w:t>S</w:t>
      </w:r>
      <w:r w:rsidR="00486DAD">
        <w:t>tatutes</w:t>
      </w:r>
      <w:r w:rsidR="00000ECA">
        <w:t>, as:</w:t>
      </w:r>
      <w:r w:rsidR="008E296A" w:rsidRPr="008E296A">
        <w:t xml:space="preserve"> </w:t>
      </w:r>
      <w:r w:rsidR="008E296A">
        <w:t>… [R]</w:t>
      </w:r>
      <w:proofErr w:type="spellStart"/>
      <w:r w:rsidR="008E296A">
        <w:t>isking</w:t>
      </w:r>
      <w:proofErr w:type="spellEnd"/>
      <w:r w:rsidR="008E296A">
        <w:t xml:space="preserve"> any money, credit, deposit, or other thing of value for gain contingent in whole or in part upon lot, chance, the operation of a gambling device, or the happening or outcome of an event, including a </w:t>
      </w:r>
      <w:r w:rsidR="008E296A">
        <w:lastRenderedPageBreak/>
        <w:t>sporting event, over which the person taking a risk has no control, but does not include:</w:t>
      </w:r>
    </w:p>
    <w:p w:rsidR="008E296A" w:rsidRDefault="008E296A" w:rsidP="00486DAD">
      <w:pPr>
        <w:pStyle w:val="ListParagraph"/>
        <w:suppressLineNumbers/>
        <w:ind w:right="720"/>
        <w:contextualSpacing/>
      </w:pPr>
      <w:r>
        <w:tab/>
        <w:t>(a)  Bona fide contests of skill, speed, strength, or endurance in which awards are made only to entrants or the owners of entries;</w:t>
      </w:r>
    </w:p>
    <w:p w:rsidR="008E296A" w:rsidRDefault="008E296A" w:rsidP="00486DAD">
      <w:pPr>
        <w:pStyle w:val="ListParagraph"/>
        <w:suppressLineNumbers/>
        <w:ind w:right="720"/>
        <w:contextualSpacing/>
      </w:pPr>
      <w:r>
        <w:tab/>
        <w:t>(b)  Bona fide business transactions which are valid under the law of contracts;</w:t>
      </w:r>
    </w:p>
    <w:p w:rsidR="008E296A" w:rsidRDefault="008E296A" w:rsidP="00486DAD">
      <w:pPr>
        <w:pStyle w:val="ListParagraph"/>
        <w:suppressLineNumbers/>
        <w:ind w:right="720"/>
        <w:contextualSpacing/>
      </w:pPr>
      <w:r>
        <w:tab/>
        <w:t>(c)  Other acts or transactions now or hereafter expressly authorized by law; [or]</w:t>
      </w:r>
    </w:p>
    <w:p w:rsidR="006B0EB6" w:rsidRDefault="008E296A" w:rsidP="00486DAD">
      <w:pPr>
        <w:pStyle w:val="ListParagraph"/>
        <w:suppressLineNumbers/>
        <w:ind w:right="720"/>
        <w:contextualSpacing/>
      </w:pPr>
      <w:r>
        <w:tab/>
        <w:t>(d)  Any game, wager, or transaction which is incidental to a bona fide social relationship, is participated in by natural persons only, and in which no person is participating, directly or indirectly, in professional gambling[.]</w:t>
      </w:r>
    </w:p>
    <w:p w:rsidR="00486DAD" w:rsidRDefault="00486DAD" w:rsidP="00486DAD">
      <w:pPr>
        <w:pStyle w:val="ListParagraph"/>
        <w:suppressLineNumbers/>
        <w:ind w:right="720"/>
        <w:contextualSpacing/>
      </w:pPr>
    </w:p>
    <w:p w:rsidR="00773885" w:rsidRDefault="00773885" w:rsidP="00773885">
      <w:pPr>
        <w:pStyle w:val="ListParagraph"/>
        <w:numPr>
          <w:ilvl w:val="1"/>
          <w:numId w:val="4"/>
        </w:numPr>
      </w:pPr>
      <w:r>
        <w:t>Is this the definition you wish to use?  If so, would you consider incorporating it by reference or, as an alternative, duplicating it in the constitution so that future statutory changes will not affect the application of this initiative?</w:t>
      </w:r>
    </w:p>
    <w:p w:rsidR="00773885" w:rsidRDefault="00773885" w:rsidP="008E296A">
      <w:pPr>
        <w:pStyle w:val="ListParagraph"/>
        <w:numPr>
          <w:ilvl w:val="1"/>
          <w:numId w:val="4"/>
        </w:numPr>
      </w:pPr>
      <w:r>
        <w:t xml:space="preserve">This definition includes </w:t>
      </w:r>
      <w:r w:rsidR="008E296A">
        <w:t>the state lottery</w:t>
      </w:r>
      <w:r w:rsidR="008E296A" w:rsidRPr="008E296A">
        <w:t xml:space="preserve"> as well as </w:t>
      </w:r>
      <w:r w:rsidR="008E296A">
        <w:t xml:space="preserve">bingo and raffles, </w:t>
      </w:r>
      <w:r w:rsidR="008E296A" w:rsidRPr="008E296A">
        <w:t xml:space="preserve">pari-mutuel wagering, and </w:t>
      </w:r>
      <w:r w:rsidR="008E296A">
        <w:t xml:space="preserve">certain types of </w:t>
      </w:r>
      <w:r w:rsidR="008E296A" w:rsidRPr="008E296A">
        <w:t>pinball machines.  Is it the intent of the proponents to require voters in a county to vote to authorize all these types of gambling before they can occur in that county</w:t>
      </w:r>
      <w:r w:rsidR="008E296A">
        <w:t>, if they were not previously authorized</w:t>
      </w:r>
      <w:r w:rsidR="008E296A" w:rsidRPr="008E296A">
        <w:t>?</w:t>
      </w:r>
    </w:p>
    <w:p w:rsidR="006B0EB6" w:rsidRDefault="008E296A" w:rsidP="006B0EB6">
      <w:pPr>
        <w:pStyle w:val="ListParagraph"/>
        <w:numPr>
          <w:ilvl w:val="0"/>
          <w:numId w:val="4"/>
        </w:numPr>
      </w:pPr>
      <w:r>
        <w:t>Subsection (2) of the proposed initiative states that the voter approval requirement applies to “any statewide vote</w:t>
      </w:r>
      <w:r w:rsidR="00486DAD">
        <w:t>.”</w:t>
      </w:r>
      <w:r>
        <w:t xml:space="preserve">  Is it </w:t>
      </w:r>
      <w:r w:rsidR="00B71871">
        <w:t>accurate</w:t>
      </w:r>
      <w:r>
        <w:t xml:space="preserve"> to conclude that a statutory change or local ordinance authorizing some form of gambling would not be subject to this requirement</w:t>
      </w:r>
      <w:r w:rsidR="00B71871">
        <w:t>, but that a citizen initiative or measure referred from the general assembly would be</w:t>
      </w:r>
      <w:r>
        <w:t>?</w:t>
      </w:r>
      <w:bookmarkStart w:id="0" w:name="_GoBack"/>
      <w:bookmarkEnd w:id="0"/>
    </w:p>
    <w:p w:rsidR="00C15510" w:rsidRDefault="008E296A" w:rsidP="008E296A">
      <w:pPr>
        <w:pStyle w:val="ListParagraph"/>
        <w:numPr>
          <w:ilvl w:val="0"/>
          <w:numId w:val="4"/>
        </w:numPr>
      </w:pPr>
      <w:r w:rsidRPr="008E296A">
        <w:t xml:space="preserve">If a single host community wishes to allow a certain type of gambling, the initiative </w:t>
      </w:r>
      <w:r>
        <w:t xml:space="preserve">appears to </w:t>
      </w:r>
      <w:r w:rsidRPr="008E296A">
        <w:t>require th</w:t>
      </w:r>
      <w:r w:rsidR="00C15510">
        <w:t xml:space="preserve">at voters in the entire county also </w:t>
      </w:r>
      <w:r w:rsidRPr="008E296A">
        <w:t>vote to authorize that type of gambling in their county.</w:t>
      </w:r>
    </w:p>
    <w:p w:rsidR="00455F0B" w:rsidRDefault="008E296A" w:rsidP="00C15510">
      <w:pPr>
        <w:pStyle w:val="ListParagraph"/>
        <w:numPr>
          <w:ilvl w:val="1"/>
          <w:numId w:val="4"/>
        </w:numPr>
      </w:pPr>
      <w:r w:rsidRPr="008E296A">
        <w:t xml:space="preserve">Is it </w:t>
      </w:r>
      <w:r w:rsidR="00C15510">
        <w:t>your</w:t>
      </w:r>
      <w:r w:rsidRPr="008E296A">
        <w:t xml:space="preserve"> intent that </w:t>
      </w:r>
      <w:proofErr w:type="gramStart"/>
      <w:r w:rsidRPr="008E296A">
        <w:t xml:space="preserve">this vote </w:t>
      </w:r>
      <w:r w:rsidR="00C15510">
        <w:t xml:space="preserve">also </w:t>
      </w:r>
      <w:r w:rsidRPr="008E296A">
        <w:t>authorize</w:t>
      </w:r>
      <w:proofErr w:type="gramEnd"/>
      <w:r w:rsidRPr="008E296A">
        <w:t xml:space="preserve"> the given type of gambling throughout the county, or </w:t>
      </w:r>
      <w:r w:rsidR="00C15510">
        <w:t>could the ballot question be phrased so as to do so</w:t>
      </w:r>
      <w:r w:rsidRPr="008E296A">
        <w:t>?</w:t>
      </w:r>
    </w:p>
    <w:p w:rsidR="00C15510" w:rsidRDefault="00C15510" w:rsidP="00C15510">
      <w:pPr>
        <w:pStyle w:val="ListParagraph"/>
        <w:numPr>
          <w:ilvl w:val="1"/>
          <w:numId w:val="4"/>
        </w:numPr>
      </w:pPr>
      <w:r>
        <w:t>Could the county ballot question include more than one host community, while still not authorizing the given type of gambling throughout the county?</w:t>
      </w:r>
    </w:p>
    <w:p w:rsidR="00C15510" w:rsidRDefault="00C15510" w:rsidP="00EC3A8A">
      <w:pPr>
        <w:pStyle w:val="ListParagraph"/>
        <w:numPr>
          <w:ilvl w:val="1"/>
          <w:numId w:val="4"/>
        </w:numPr>
      </w:pPr>
      <w:r>
        <w:t xml:space="preserve">Could the county ballot question authorize more than one type of gambling, even if the host community only proposes to host one type </w:t>
      </w:r>
      <w:r>
        <w:lastRenderedPageBreak/>
        <w:t xml:space="preserve">of gambling?  </w:t>
      </w:r>
      <w:r w:rsidR="00486DAD">
        <w:t>For example</w:t>
      </w:r>
      <w:r>
        <w:t>, if Windsor chose to authorize slot machines (assuming it were constitutionally permissible), could Weld County vote to allow Windsor to authorize any form of limited gaming so that a second county-wide vote would not be required if Windsor later desired to expand its operation to include poker?</w:t>
      </w:r>
    </w:p>
    <w:sectPr w:rsidR="00C15510"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DAD" w:rsidRDefault="00486DAD" w:rsidP="00245641">
      <w:r>
        <w:separator/>
      </w:r>
    </w:p>
  </w:endnote>
  <w:endnote w:type="continuationSeparator" w:id="0">
    <w:p w:rsidR="00486DAD" w:rsidRDefault="00486DAD"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1083F96F-EA13-416A-A497-1A73FE0AD5BC}"/>
    <w:embedBold r:id="rId2" w:fontKey="{30D67F6A-B7E9-4015-BD8E-EAAB810E2560}"/>
    <w:embedItalic r:id="rId3" w:fontKey="{B961B124-E671-43E9-B3ED-862B729B66A4}"/>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520D2D73-ED03-4E9A-AF8D-A8CAA6EF2D1C}"/>
    <w:embedBold r:id="rId5" w:fontKey="{E2936007-F3CD-476C-AE39-B09E1FB21501}"/>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935F19"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sidR="00B71871">
          <w:rPr>
            <w:rFonts w:ascii="Times New Roman" w:hAnsi="Times New Roman"/>
            <w:bCs/>
            <w:noProof/>
          </w:rPr>
          <w:t>3</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sidR="00B71871">
          <w:rPr>
            <w:rFonts w:ascii="Times New Roman" w:hAnsi="Times New Roman"/>
            <w:bCs/>
            <w:noProof/>
          </w:rPr>
          <w:t>4</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486DAD">
      <w:rPr>
        <w:rFonts w:ascii="Times New Roman" w:hAnsi="Times New Roman" w:cs="Times New Roman"/>
        <w:noProof/>
        <w:sz w:val="16"/>
        <w:szCs w:val="16"/>
      </w:rPr>
      <w:t>DOCUMENT1</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DAD" w:rsidRDefault="00486DAD" w:rsidP="00245641">
      <w:r>
        <w:separator/>
      </w:r>
    </w:p>
  </w:footnote>
  <w:footnote w:type="continuationSeparator" w:id="0">
    <w:p w:rsidR="00486DAD" w:rsidRDefault="00486DAD"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F19C735C"/>
    <w:lvl w:ilvl="0" w:tplc="1D62873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AD"/>
    <w:rsid w:val="00000ECA"/>
    <w:rsid w:val="000728AB"/>
    <w:rsid w:val="00084960"/>
    <w:rsid w:val="00100194"/>
    <w:rsid w:val="001C4E17"/>
    <w:rsid w:val="001F0C44"/>
    <w:rsid w:val="00245641"/>
    <w:rsid w:val="002A5A4D"/>
    <w:rsid w:val="003B6207"/>
    <w:rsid w:val="003C1541"/>
    <w:rsid w:val="003D554C"/>
    <w:rsid w:val="00455F0B"/>
    <w:rsid w:val="00471D75"/>
    <w:rsid w:val="00486DAD"/>
    <w:rsid w:val="004926FF"/>
    <w:rsid w:val="004D7222"/>
    <w:rsid w:val="004F0279"/>
    <w:rsid w:val="005276D8"/>
    <w:rsid w:val="00557A93"/>
    <w:rsid w:val="00571613"/>
    <w:rsid w:val="005A2902"/>
    <w:rsid w:val="005C0038"/>
    <w:rsid w:val="006B0EB6"/>
    <w:rsid w:val="00773885"/>
    <w:rsid w:val="007905EC"/>
    <w:rsid w:val="007A624F"/>
    <w:rsid w:val="007E2C4E"/>
    <w:rsid w:val="007F1D8B"/>
    <w:rsid w:val="008A2A2D"/>
    <w:rsid w:val="008E296A"/>
    <w:rsid w:val="008E769E"/>
    <w:rsid w:val="00935F19"/>
    <w:rsid w:val="00936DCA"/>
    <w:rsid w:val="00945390"/>
    <w:rsid w:val="009D45C1"/>
    <w:rsid w:val="00A627FE"/>
    <w:rsid w:val="00AB10A3"/>
    <w:rsid w:val="00B1148D"/>
    <w:rsid w:val="00B71871"/>
    <w:rsid w:val="00B930E3"/>
    <w:rsid w:val="00BA5E79"/>
    <w:rsid w:val="00BF34A7"/>
    <w:rsid w:val="00C10581"/>
    <w:rsid w:val="00C15510"/>
    <w:rsid w:val="00C576CD"/>
    <w:rsid w:val="00C62563"/>
    <w:rsid w:val="00D0562A"/>
    <w:rsid w:val="00D1167B"/>
    <w:rsid w:val="00D13282"/>
    <w:rsid w:val="00D52F8E"/>
    <w:rsid w:val="00D635F2"/>
    <w:rsid w:val="00E0030A"/>
    <w:rsid w:val="00EC3A8A"/>
    <w:rsid w:val="00FB0F15"/>
    <w:rsid w:val="00FB2914"/>
    <w:rsid w:val="00FF3750"/>
    <w:rsid w:val="00FF37AB"/>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Kate McCarthy</cp:lastModifiedBy>
  <cp:revision>3</cp:revision>
  <cp:lastPrinted>2014-03-31T17:36:00Z</cp:lastPrinted>
  <dcterms:created xsi:type="dcterms:W3CDTF">2014-04-02T14:04:00Z</dcterms:created>
  <dcterms:modified xsi:type="dcterms:W3CDTF">2014-04-02T16:27:00Z</dcterms:modified>
</cp:coreProperties>
</file>