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903BC8" w:rsidP="006B0EB6">
      <w:pPr>
        <w:jc w:val="right"/>
      </w:pPr>
      <w:r>
        <w:t>March 19, 2014</w:t>
      </w:r>
    </w:p>
    <w:p w:rsidR="003B6207" w:rsidRPr="003B6207" w:rsidRDefault="003B6207" w:rsidP="006B0EB6">
      <w:r w:rsidRPr="005A2902">
        <w:rPr>
          <w:b/>
        </w:rPr>
        <w:t>TO:</w:t>
      </w:r>
      <w:r>
        <w:tab/>
      </w:r>
      <w:r>
        <w:tab/>
      </w:r>
      <w:r w:rsidR="00903BC8" w:rsidRPr="00903BC8">
        <w:t xml:space="preserve">Mike </w:t>
      </w:r>
      <w:proofErr w:type="spellStart"/>
      <w:r w:rsidR="00903BC8" w:rsidRPr="00903BC8">
        <w:t>Callicrate</w:t>
      </w:r>
      <w:proofErr w:type="spellEnd"/>
      <w:r w:rsidR="00903BC8" w:rsidRPr="00903BC8">
        <w:t xml:space="preserve"> and Angela Smith</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903BC8">
        <w:t>2013-2014 #9</w:t>
      </w:r>
      <w:r w:rsidR="0094677E">
        <w:t>7</w:t>
      </w:r>
      <w:r w:rsidR="00903BC8">
        <w:t xml:space="preserve">, concerning </w:t>
      </w:r>
      <w:r w:rsidR="00903BC8" w:rsidRPr="00903BC8">
        <w:t>the Care of Livestock Animals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94677E" w:rsidP="006B0EB6">
      <w:r>
        <w:t xml:space="preserve">This initiative was submitted with a series of initiatives including proposed initiatives </w:t>
      </w:r>
      <w:r>
        <w:rPr>
          <w:u w:val="single"/>
        </w:rPr>
        <w:t>2013-2014</w:t>
      </w:r>
      <w:r w:rsidRPr="003B6207">
        <w:rPr>
          <w:u w:val="single"/>
        </w:rPr>
        <w:t xml:space="preserve"> #</w:t>
      </w:r>
      <w:r>
        <w:rPr>
          <w:u w:val="single"/>
        </w:rPr>
        <w:t>98</w:t>
      </w:r>
      <w:r w:rsidRPr="00B569C5">
        <w:rPr>
          <w:u w:val="single"/>
        </w:rPr>
        <w:t xml:space="preserve"> to </w:t>
      </w:r>
      <w:r w:rsidR="00490154">
        <w:rPr>
          <w:u w:val="single"/>
        </w:rPr>
        <w:t>102.</w:t>
      </w:r>
      <w:r w:rsidR="00490154">
        <w:t xml:space="preserve"> </w:t>
      </w:r>
      <w:r w:rsidR="00490154" w:rsidRPr="00593922">
        <w:t xml:space="preserve">The comments and questions raised in this memorandum will not include comments and questions that were addressed in the memoranda for proposed </w:t>
      </w:r>
      <w:r w:rsidR="00490154">
        <w:t xml:space="preserve">initiatives </w:t>
      </w:r>
      <w:r w:rsidR="00490154" w:rsidRPr="00593922">
        <w:rPr>
          <w:u w:val="single"/>
        </w:rPr>
        <w:t>2013-2014 #</w:t>
      </w:r>
      <w:r w:rsidR="00490154" w:rsidRPr="00D66ADD">
        <w:rPr>
          <w:u w:val="single"/>
        </w:rPr>
        <w:t>64 to 67</w:t>
      </w:r>
      <w:r w:rsidR="00490154" w:rsidRPr="00593922">
        <w:t xml:space="preserve"> </w:t>
      </w:r>
      <w:r w:rsidR="006911D3">
        <w:t xml:space="preserve">and </w:t>
      </w:r>
      <w:r w:rsidR="006911D3" w:rsidRPr="006911D3">
        <w:rPr>
          <w:u w:val="single"/>
        </w:rPr>
        <w:t>2013-2014 #98 to 102</w:t>
      </w:r>
      <w:r w:rsidR="006911D3">
        <w:t xml:space="preserve"> </w:t>
      </w:r>
      <w:r w:rsidR="00490154" w:rsidRPr="00593922">
        <w:t xml:space="preserve">which were substantially similar, except as necessary to fully understand the issues raised by the revised proposed initiative. Comments and questions addressed in those other memoranda may also be relevant, and those questions and comments are hereby incorporated by reference in this memorandum. Only new comments and questions </w:t>
      </w:r>
      <w:r w:rsidR="00490154">
        <w:t>are included in this memorandum</w:t>
      </w:r>
      <w:r w:rsidR="003B6207">
        <w:t>.</w:t>
      </w:r>
    </w:p>
    <w:p w:rsidR="003B6207" w:rsidRPr="005A2902" w:rsidRDefault="003B6207" w:rsidP="00D13282">
      <w:pPr>
        <w:pStyle w:val="Heading1"/>
      </w:pPr>
      <w:r w:rsidRPr="005A2902">
        <w:lastRenderedPageBreak/>
        <w:t>Purposes</w:t>
      </w:r>
    </w:p>
    <w:p w:rsidR="005A2902" w:rsidRDefault="0094677E" w:rsidP="0094677E">
      <w:r w:rsidRPr="0094677E">
        <w:t>The major purpose of the proposed amendment to the Colorado Revised Statutes appears to be to repeal the exemption of accepted animal husbandry practices used in the care of companion and livestock animals from the animal cruelty statutes.</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94677E" w:rsidP="006B0EB6">
      <w:pPr>
        <w:pStyle w:val="ListParagraph"/>
        <w:numPr>
          <w:ilvl w:val="0"/>
          <w:numId w:val="3"/>
        </w:numPr>
      </w:pPr>
      <w:r>
        <w:t>It is not necessary to include the section symbol (§) before the section number.</w:t>
      </w:r>
    </w:p>
    <w:p w:rsidR="00455F0B" w:rsidRDefault="0094677E" w:rsidP="006B0EB6">
      <w:pPr>
        <w:pStyle w:val="ListParagraph"/>
        <w:numPr>
          <w:ilvl w:val="0"/>
          <w:numId w:val="3"/>
        </w:numPr>
      </w:pPr>
      <w:r>
        <w:t>I</w:t>
      </w:r>
      <w:r w:rsidR="004F1A6D">
        <w:t>t is not necessary to show the deleted commas</w:t>
      </w:r>
      <w:r>
        <w:t xml:space="preserve"> </w:t>
      </w:r>
      <w:r w:rsidR="004F1A6D">
        <w:t xml:space="preserve">in </w:t>
      </w:r>
      <w:r w:rsidR="00F919D5">
        <w:t xml:space="preserve">the citation in </w:t>
      </w:r>
      <w:r w:rsidR="004F1A6D">
        <w:t>section 18</w:t>
      </w:r>
      <w:r w:rsidR="004F1A6D">
        <w:noBreakHyphen/>
        <w:t>9</w:t>
      </w:r>
      <w:r w:rsidR="004F1A6D">
        <w:noBreakHyphen/>
        <w:t xml:space="preserve">201.5 (1), Colorado Revised Statutes, in stricken type. </w:t>
      </w:r>
      <w:r w:rsidR="00F919D5">
        <w:t xml:space="preserve">As such, the citation should read: “…articles 7 </w:t>
      </w:r>
      <w:r w:rsidR="00F919D5" w:rsidRPr="00F919D5">
        <w:rPr>
          <w:smallCaps/>
        </w:rPr>
        <w:t>and</w:t>
      </w:r>
      <w:r w:rsidR="00F919D5">
        <w:t xml:space="preserve"> 10 </w:t>
      </w:r>
      <w:r w:rsidR="00F919D5" w:rsidRPr="00F919D5">
        <w:rPr>
          <w:strike/>
        </w:rPr>
        <w:t>and 43</w:t>
      </w:r>
      <w:r w:rsidR="00F919D5">
        <w:t xml:space="preserve"> of title 35, C.R.S.”</w:t>
      </w:r>
    </w:p>
    <w:p w:rsidR="00455F0B" w:rsidRDefault="00F919D5" w:rsidP="006B0EB6">
      <w:pPr>
        <w:pStyle w:val="ListParagraph"/>
        <w:numPr>
          <w:ilvl w:val="0"/>
          <w:numId w:val="3"/>
        </w:numPr>
      </w:pPr>
      <w:r>
        <w:t xml:space="preserve">Because it is not being added to </w:t>
      </w:r>
      <w:r w:rsidR="007B60BD">
        <w:t xml:space="preserve">either </w:t>
      </w:r>
      <w:r>
        <w:t>the Colorado Revised Statutes</w:t>
      </w:r>
      <w:r w:rsidR="007B60BD">
        <w:t xml:space="preserve"> or the Colorado constitution</w:t>
      </w:r>
      <w:r>
        <w:t>, the language in section 2 does not need to be in small capital letters.</w:t>
      </w:r>
    </w:p>
    <w:p w:rsidR="003B6207" w:rsidRPr="005A2902" w:rsidRDefault="003B6207" w:rsidP="00D13282">
      <w:pPr>
        <w:pStyle w:val="Heading1"/>
      </w:pPr>
      <w:r w:rsidRPr="005A2902">
        <w:t>Substantive Comments and Questions</w:t>
      </w:r>
    </w:p>
    <w:p w:rsidR="00455F0B" w:rsidRDefault="003B6207" w:rsidP="001D6D29">
      <w:r>
        <w:t xml:space="preserve">The </w:t>
      </w:r>
      <w:r w:rsidR="001D6D29">
        <w:t xml:space="preserve">proposed initiative does not raise any </w:t>
      </w:r>
      <w:r w:rsidR="006911D3">
        <w:t xml:space="preserve">new </w:t>
      </w:r>
      <w:r w:rsidR="001D6D29">
        <w:t>substantive comments and questions.</w:t>
      </w:r>
    </w:p>
    <w:sectPr w:rsidR="00455F0B"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FB" w:rsidRDefault="000B6DFB" w:rsidP="00245641">
      <w:r>
        <w:separator/>
      </w:r>
    </w:p>
  </w:endnote>
  <w:endnote w:type="continuationSeparator" w:id="0">
    <w:p w:rsidR="000B6DFB" w:rsidRDefault="000B6DFB"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4C6A99CF-650C-4831-8BD4-DAE89D518B8D}"/>
    <w:embedBold r:id="rId2" w:fontKey="{F85321AF-93C9-46EF-82FA-6DE77009D427}"/>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167B4D3F-A615-43CD-9432-EAE5F5B0CEEE}"/>
    <w:embedBold r:id="rId4" w:fontKey="{780700C0-0D1B-49B0-97A9-0F99A328D858}"/>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5C1288"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5C1288">
      <w:rPr>
        <w:rFonts w:ascii="Times New Roman" w:hAnsi="Times New Roman" w:cs="Times New Roman"/>
        <w:noProof/>
        <w:sz w:val="16"/>
        <w:szCs w:val="16"/>
      </w:rPr>
      <w:t>S:\PUBLIC\BALLOT\2013-2014CYCLE\2014REV&amp;COMMEMOS\2013-2014 #97.DOCX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FB" w:rsidRDefault="000B6DFB" w:rsidP="00245641">
      <w:r>
        <w:separator/>
      </w:r>
    </w:p>
  </w:footnote>
  <w:footnote w:type="continuationSeparator" w:id="0">
    <w:p w:rsidR="000B6DFB" w:rsidRDefault="000B6DFB"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8"/>
    <w:rsid w:val="000728AB"/>
    <w:rsid w:val="000B3422"/>
    <w:rsid w:val="000B6DFB"/>
    <w:rsid w:val="001C4E17"/>
    <w:rsid w:val="001D6D29"/>
    <w:rsid w:val="00245641"/>
    <w:rsid w:val="002A5A4D"/>
    <w:rsid w:val="003B6207"/>
    <w:rsid w:val="003D554C"/>
    <w:rsid w:val="00455F0B"/>
    <w:rsid w:val="00471D75"/>
    <w:rsid w:val="00490154"/>
    <w:rsid w:val="004926FF"/>
    <w:rsid w:val="004D7222"/>
    <w:rsid w:val="004F0279"/>
    <w:rsid w:val="004F1A6D"/>
    <w:rsid w:val="005276D8"/>
    <w:rsid w:val="00557A93"/>
    <w:rsid w:val="005A2902"/>
    <w:rsid w:val="005C0038"/>
    <w:rsid w:val="005C1288"/>
    <w:rsid w:val="00666DBD"/>
    <w:rsid w:val="00670AAE"/>
    <w:rsid w:val="006911D3"/>
    <w:rsid w:val="006B0EB6"/>
    <w:rsid w:val="00766774"/>
    <w:rsid w:val="007905EC"/>
    <w:rsid w:val="007A624F"/>
    <w:rsid w:val="007B60BD"/>
    <w:rsid w:val="007F1D8B"/>
    <w:rsid w:val="00811137"/>
    <w:rsid w:val="008A2A2D"/>
    <w:rsid w:val="00903BC8"/>
    <w:rsid w:val="00945390"/>
    <w:rsid w:val="0094677E"/>
    <w:rsid w:val="009D45C1"/>
    <w:rsid w:val="00A627FE"/>
    <w:rsid w:val="00AB10A3"/>
    <w:rsid w:val="00B1148D"/>
    <w:rsid w:val="00B930E3"/>
    <w:rsid w:val="00BA5E79"/>
    <w:rsid w:val="00BF34A7"/>
    <w:rsid w:val="00C10581"/>
    <w:rsid w:val="00C576CD"/>
    <w:rsid w:val="00C62563"/>
    <w:rsid w:val="00D0562A"/>
    <w:rsid w:val="00D1167B"/>
    <w:rsid w:val="00D13282"/>
    <w:rsid w:val="00D52F8E"/>
    <w:rsid w:val="00D635F2"/>
    <w:rsid w:val="00D66ADD"/>
    <w:rsid w:val="00E0030A"/>
    <w:rsid w:val="00F919D5"/>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6</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McCarthy</dc:creator>
  <cp:lastModifiedBy>Stephanie Smith</cp:lastModifiedBy>
  <cp:revision>9</cp:revision>
  <cp:lastPrinted>2014-03-19T17:38:00Z</cp:lastPrinted>
  <dcterms:created xsi:type="dcterms:W3CDTF">2014-03-17T17:00:00Z</dcterms:created>
  <dcterms:modified xsi:type="dcterms:W3CDTF">2014-03-19T17:38:00Z</dcterms:modified>
</cp:coreProperties>
</file>