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B140B8" w:rsidP="006B0EB6">
      <w:pPr>
        <w:jc w:val="right"/>
      </w:pPr>
      <w:r>
        <w:t>April 2, 2014</w:t>
      </w:r>
    </w:p>
    <w:p w:rsidR="003B6207" w:rsidRPr="003B6207" w:rsidRDefault="003B6207" w:rsidP="006B0EB6">
      <w:r w:rsidRPr="005A2902">
        <w:rPr>
          <w:b/>
        </w:rPr>
        <w:t>TO:</w:t>
      </w:r>
      <w:r>
        <w:tab/>
      </w:r>
      <w:r>
        <w:tab/>
      </w:r>
      <w:r w:rsidR="00B140B8">
        <w:t xml:space="preserve">Richard Evans, Stephen Roark, and Mark </w:t>
      </w:r>
      <w:proofErr w:type="spellStart"/>
      <w:r w:rsidR="00B140B8">
        <w:t>Grueskin</w:t>
      </w:r>
      <w:proofErr w:type="spellEnd"/>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B140B8">
        <w:t>2013-2014 #138</w:t>
      </w:r>
      <w:r w:rsidRPr="003B6207">
        <w:t xml:space="preserve">, concerning </w:t>
      </w:r>
      <w:r w:rsidR="00B140B8">
        <w:t>Naming of Gambling Locations</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Default="003B6207" w:rsidP="006B0EB6">
      <w:r>
        <w:t xml:space="preserve">This initiative was submitted with a series of initiatives including proposed initiatives </w:t>
      </w:r>
      <w:r w:rsidR="007875F6">
        <w:rPr>
          <w:u w:val="single"/>
        </w:rPr>
        <w:t>2013-2014</w:t>
      </w:r>
      <w:r w:rsidRPr="003B6207">
        <w:rPr>
          <w:u w:val="single"/>
        </w:rPr>
        <w:t xml:space="preserve"> #</w:t>
      </w:r>
      <w:r w:rsidR="007875F6">
        <w:rPr>
          <w:u w:val="single"/>
        </w:rPr>
        <w:t>139</w:t>
      </w:r>
      <w:r>
        <w:t xml:space="preserve"> to </w:t>
      </w:r>
      <w:r w:rsidR="007875F6">
        <w:rPr>
          <w:u w:val="single"/>
        </w:rPr>
        <w:t>142</w:t>
      </w:r>
      <w:r>
        <w:t xml:space="preserve">. </w:t>
      </w:r>
    </w:p>
    <w:p w:rsidR="003B6207" w:rsidRPr="005A2902" w:rsidRDefault="003B6207" w:rsidP="00D13282">
      <w:pPr>
        <w:pStyle w:val="Heading1"/>
      </w:pPr>
      <w:r w:rsidRPr="005A2902">
        <w:t>Purposes</w:t>
      </w:r>
    </w:p>
    <w:p w:rsidR="003B6207" w:rsidRDefault="003B6207" w:rsidP="006B0EB6">
      <w:r>
        <w:t xml:space="preserve">The major purposes of the proposed amendment to the </w:t>
      </w:r>
      <w:r w:rsidRPr="00455F0B">
        <w:rPr>
          <w:b/>
        </w:rPr>
        <w:t xml:space="preserve">Colorado constitution </w:t>
      </w:r>
      <w:r>
        <w:t>appear to be:</w:t>
      </w:r>
    </w:p>
    <w:p w:rsidR="00813493" w:rsidRDefault="005A2902" w:rsidP="005A2902">
      <w:pPr>
        <w:pStyle w:val="ListParagraph"/>
        <w:numPr>
          <w:ilvl w:val="0"/>
          <w:numId w:val="5"/>
        </w:numPr>
      </w:pPr>
      <w:r>
        <w:lastRenderedPageBreak/>
        <w:t xml:space="preserve"> </w:t>
      </w:r>
      <w:r w:rsidR="007875F6">
        <w:t>To prohibit state licensing authorities from granting a</w:t>
      </w:r>
      <w:r w:rsidR="002306FA">
        <w:t>n exclusive</w:t>
      </w:r>
      <w:r w:rsidR="007875F6">
        <w:t xml:space="preserve"> license to conduct casino-style gambling at specific geographic sites identified in an initiative approved by the</w:t>
      </w:r>
      <w:r w:rsidR="00813493">
        <w:t xml:space="preserve"> people at any general election;</w:t>
      </w:r>
    </w:p>
    <w:p w:rsidR="005A2902" w:rsidRDefault="007875F6" w:rsidP="005A2902">
      <w:pPr>
        <w:pStyle w:val="ListParagraph"/>
        <w:numPr>
          <w:ilvl w:val="0"/>
          <w:numId w:val="5"/>
        </w:numPr>
      </w:pPr>
      <w:r>
        <w:t>To define casino-style gambling to include slot machines, poker, blackjack, craps, roule</w:t>
      </w:r>
      <w:r w:rsidR="002306FA">
        <w:t>tte, and</w:t>
      </w:r>
      <w:r w:rsidR="008A184B">
        <w:t xml:space="preserve"> video lottery terminals; and</w:t>
      </w:r>
    </w:p>
    <w:p w:rsidR="005A2902" w:rsidRDefault="007875F6" w:rsidP="005A2902">
      <w:pPr>
        <w:pStyle w:val="ListParagraph"/>
        <w:numPr>
          <w:ilvl w:val="0"/>
          <w:numId w:val="5"/>
        </w:numPr>
      </w:pPr>
      <w:r>
        <w:t xml:space="preserve">To </w:t>
      </w:r>
      <w:r w:rsidR="00067D5F">
        <w:t>apply the prohibition on exclusive licenses to</w:t>
      </w:r>
      <w:r>
        <w:t xml:space="preserve"> any other initiative adopted </w:t>
      </w:r>
      <w:r w:rsidR="00C7480A">
        <w:t>at</w:t>
      </w:r>
      <w:r>
        <w:t xml:space="preserve"> the general electio</w:t>
      </w:r>
      <w:r w:rsidR="00C7480A">
        <w:t xml:space="preserve">n conducted on November 4, 2014, or any later election. </w:t>
      </w:r>
    </w:p>
    <w:p w:rsidR="003B6207" w:rsidRPr="005A2902" w:rsidRDefault="003B6207" w:rsidP="00D13282">
      <w:pPr>
        <w:pStyle w:val="Heading1"/>
      </w:pPr>
      <w:r w:rsidRPr="005A2902">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8C4B03" w:rsidRPr="008C4B03" w:rsidRDefault="008C4B03" w:rsidP="008C4B03">
      <w:pPr>
        <w:pStyle w:val="ListParagraph"/>
        <w:numPr>
          <w:ilvl w:val="0"/>
          <w:numId w:val="3"/>
        </w:numPr>
        <w:rPr>
          <w:szCs w:val="26"/>
        </w:rPr>
      </w:pPr>
      <w:r w:rsidRPr="008C4B03">
        <w:rPr>
          <w:sz w:val="24"/>
          <w:lang w:val="en-CA"/>
        </w:rPr>
        <w:fldChar w:fldCharType="begin"/>
      </w:r>
      <w:r w:rsidRPr="008C4B03">
        <w:rPr>
          <w:sz w:val="24"/>
          <w:lang w:val="en-CA"/>
        </w:rPr>
        <w:instrText xml:space="preserve"> SEQ CHAPTER \h \r 1</w:instrText>
      </w:r>
      <w:r w:rsidRPr="008C4B03">
        <w:rPr>
          <w:sz w:val="24"/>
          <w:lang w:val="en-CA"/>
        </w:rPr>
        <w:fldChar w:fldCharType="end"/>
      </w:r>
      <w:r w:rsidRPr="008C4B03">
        <w:rPr>
          <w:szCs w:val="26"/>
        </w:rPr>
        <w:t>It is standard drafting practice to number each section, part, etc. that is being amended or added with a section number in capital letters and bold</w:t>
      </w:r>
      <w:r w:rsidR="00813493">
        <w:rPr>
          <w:szCs w:val="26"/>
        </w:rPr>
        <w:noBreakHyphen/>
      </w:r>
      <w:r w:rsidRPr="008C4B03">
        <w:rPr>
          <w:szCs w:val="26"/>
        </w:rPr>
        <w:t>faced type (e.g., </w:t>
      </w:r>
      <w:r w:rsidRPr="008C4B03">
        <w:rPr>
          <w:b/>
          <w:bCs/>
          <w:szCs w:val="26"/>
        </w:rPr>
        <w:t>SECTION 1., SECTION 2.</w:t>
      </w:r>
      <w:r w:rsidRPr="008C4B03">
        <w:rPr>
          <w:szCs w:val="26"/>
        </w:rPr>
        <w:t>) before the amending clause. For example:</w:t>
      </w:r>
    </w:p>
    <w:p w:rsidR="008C4B03" w:rsidRDefault="008C4B03" w:rsidP="008C4B03">
      <w:pPr>
        <w:pStyle w:val="ListParagra"/>
        <w:tabs>
          <w:tab w:val="clear" w:pos="720"/>
        </w:tabs>
        <w:ind w:left="1440" w:right="720"/>
      </w:pPr>
      <w:r>
        <w:rPr>
          <w:b/>
          <w:bCs/>
        </w:rPr>
        <w:tab/>
      </w:r>
      <w:proofErr w:type="gramStart"/>
      <w:r>
        <w:rPr>
          <w:b/>
          <w:bCs/>
        </w:rPr>
        <w:t>SECTION 1.</w:t>
      </w:r>
      <w:proofErr w:type="gramEnd"/>
      <w:r>
        <w:t xml:space="preserve"> In the constitution of the state of Colorado, </w:t>
      </w:r>
      <w:r w:rsidRPr="00813493">
        <w:rPr>
          <w:b/>
        </w:rPr>
        <w:t>add</w:t>
      </w:r>
      <w:r w:rsidR="00813493">
        <w:t xml:space="preserve"> section 17 to a</w:t>
      </w:r>
      <w:r>
        <w:t>rticle XVIII as follows:</w:t>
      </w:r>
    </w:p>
    <w:p w:rsidR="00BE0C62" w:rsidRDefault="00BE0C62" w:rsidP="008C4B03">
      <w:pPr>
        <w:pStyle w:val="ListParagra"/>
        <w:tabs>
          <w:tab w:val="clear" w:pos="720"/>
        </w:tabs>
        <w:ind w:left="1440" w:right="720"/>
      </w:pPr>
    </w:p>
    <w:p w:rsidR="003B6207" w:rsidRPr="00EA443E" w:rsidRDefault="009B7AFD" w:rsidP="006B0EB6">
      <w:pPr>
        <w:pStyle w:val="ListParagraph"/>
        <w:numPr>
          <w:ilvl w:val="0"/>
          <w:numId w:val="3"/>
        </w:numPr>
        <w:rPr>
          <w:szCs w:val="26"/>
        </w:rPr>
      </w:pPr>
      <w:r w:rsidRPr="00EA443E">
        <w:rPr>
          <w:szCs w:val="26"/>
          <w:lang w:val="en-CA"/>
        </w:rPr>
        <w:fldChar w:fldCharType="begin"/>
      </w:r>
      <w:r w:rsidRPr="00EA443E">
        <w:rPr>
          <w:szCs w:val="26"/>
          <w:lang w:val="en-CA"/>
        </w:rPr>
        <w:instrText xml:space="preserve"> SEQ CHAPTER \h \r 1</w:instrText>
      </w:r>
      <w:r w:rsidRPr="00EA443E">
        <w:rPr>
          <w:szCs w:val="26"/>
          <w:lang w:val="en-CA"/>
        </w:rPr>
        <w:fldChar w:fldCharType="end"/>
      </w:r>
      <w:r w:rsidRPr="00EA443E">
        <w:rPr>
          <w:szCs w:val="26"/>
        </w:rPr>
        <w:t>Section</w:t>
      </w:r>
      <w:r w:rsidR="00813493">
        <w:rPr>
          <w:szCs w:val="26"/>
        </w:rPr>
        <w:t>s</w:t>
      </w:r>
      <w:r w:rsidRPr="00EA443E">
        <w:rPr>
          <w:szCs w:val="26"/>
        </w:rPr>
        <w:t xml:space="preserve"> being added to the </w:t>
      </w:r>
      <w:r w:rsidR="00813493">
        <w:rPr>
          <w:szCs w:val="26"/>
        </w:rPr>
        <w:t xml:space="preserve">Colorado </w:t>
      </w:r>
      <w:r w:rsidRPr="00EA443E">
        <w:rPr>
          <w:szCs w:val="26"/>
        </w:rPr>
        <w:t>constitution are typically numbered in sequence. Currently, the last section under article X</w:t>
      </w:r>
      <w:r w:rsidR="00EA443E">
        <w:rPr>
          <w:szCs w:val="26"/>
        </w:rPr>
        <w:t>VIII</w:t>
      </w:r>
      <w:r w:rsidRPr="00EA443E">
        <w:rPr>
          <w:szCs w:val="26"/>
        </w:rPr>
        <w:t xml:space="preserve"> of the </w:t>
      </w:r>
      <w:r w:rsidR="00813493">
        <w:rPr>
          <w:szCs w:val="26"/>
        </w:rPr>
        <w:t xml:space="preserve">Colorado </w:t>
      </w:r>
      <w:r w:rsidRPr="00EA443E">
        <w:rPr>
          <w:szCs w:val="26"/>
        </w:rPr>
        <w:t>constitution is section 1</w:t>
      </w:r>
      <w:r w:rsidR="00EA443E">
        <w:rPr>
          <w:szCs w:val="26"/>
        </w:rPr>
        <w:t>6</w:t>
      </w:r>
      <w:r w:rsidRPr="00EA443E">
        <w:rPr>
          <w:szCs w:val="26"/>
        </w:rPr>
        <w:t xml:space="preserve">. Therefore, the proponents should </w:t>
      </w:r>
      <w:r w:rsidR="00813493">
        <w:rPr>
          <w:szCs w:val="26"/>
        </w:rPr>
        <w:t>number</w:t>
      </w:r>
      <w:r w:rsidRPr="00EA443E">
        <w:rPr>
          <w:szCs w:val="26"/>
        </w:rPr>
        <w:t xml:space="preserve"> the new section of the proposed initiative as section </w:t>
      </w:r>
      <w:r w:rsidR="00EA443E">
        <w:rPr>
          <w:szCs w:val="26"/>
        </w:rPr>
        <w:t>17</w:t>
      </w:r>
      <w:r w:rsidRPr="00EA443E">
        <w:rPr>
          <w:szCs w:val="26"/>
        </w:rPr>
        <w:t xml:space="preserve"> rather than section </w:t>
      </w:r>
      <w:r w:rsidR="00EA443E">
        <w:rPr>
          <w:szCs w:val="26"/>
        </w:rPr>
        <w:t>18</w:t>
      </w:r>
      <w:r w:rsidRPr="00EA443E">
        <w:rPr>
          <w:szCs w:val="26"/>
        </w:rPr>
        <w:t>.</w:t>
      </w:r>
    </w:p>
    <w:p w:rsidR="00EA443E" w:rsidRPr="00525CFC" w:rsidRDefault="00EA443E" w:rsidP="00EA443E">
      <w:pPr>
        <w:pStyle w:val="ListParagraph"/>
        <w:numPr>
          <w:ilvl w:val="0"/>
          <w:numId w:val="3"/>
        </w:numPr>
        <w:rPr>
          <w:szCs w:val="26"/>
          <w:shd w:val="clear" w:color="auto" w:fill="FFFFFF"/>
        </w:rPr>
      </w:pPr>
      <w:r w:rsidRPr="00EA443E">
        <w:rPr>
          <w:szCs w:val="26"/>
          <w:lang w:val="en-CA"/>
        </w:rPr>
        <w:fldChar w:fldCharType="begin"/>
      </w:r>
      <w:r w:rsidRPr="00EA443E">
        <w:rPr>
          <w:szCs w:val="26"/>
          <w:lang w:val="en-CA"/>
        </w:rPr>
        <w:instrText xml:space="preserve"> SEQ CHAPTER \h \r 1</w:instrText>
      </w:r>
      <w:r w:rsidRPr="00EA443E">
        <w:rPr>
          <w:szCs w:val="26"/>
          <w:lang w:val="en-CA"/>
        </w:rPr>
        <w:fldChar w:fldCharType="end"/>
      </w:r>
      <w:r w:rsidRPr="00EA443E">
        <w:rPr>
          <w:szCs w:val="26"/>
        </w:rPr>
        <w:t>It is standard drafting practice to insert a left tab at the beginning of the first line of each new section, subsection, paragraph, or subparagraph, including amending clauses and section headings.</w:t>
      </w:r>
      <w:r w:rsidRPr="00EA443E">
        <w:rPr>
          <w:szCs w:val="26"/>
          <w:shd w:val="clear" w:color="auto" w:fill="FFFFFF"/>
        </w:rPr>
        <w:t xml:space="preserve"> </w:t>
      </w:r>
      <w:r w:rsidRPr="00525CFC">
        <w:rPr>
          <w:szCs w:val="26"/>
          <w:shd w:val="clear" w:color="auto" w:fill="FFFFFF"/>
        </w:rPr>
        <w:t>See technical comment 1 for an example.</w:t>
      </w:r>
    </w:p>
    <w:p w:rsidR="00455F0B" w:rsidRDefault="00EA443E" w:rsidP="006B0EB6">
      <w:pPr>
        <w:pStyle w:val="ListParagraph"/>
        <w:numPr>
          <w:ilvl w:val="0"/>
          <w:numId w:val="3"/>
        </w:numPr>
      </w:pPr>
      <w:r>
        <w:t>When definitions are included in a section, it is standard drafting practice to give notice of definitions in the section headnote. For example:</w:t>
      </w:r>
    </w:p>
    <w:p w:rsidR="00EA443E" w:rsidRPr="00EA443E" w:rsidRDefault="00EA443E" w:rsidP="00EA443E">
      <w:pPr>
        <w:ind w:left="1440" w:right="720" w:firstLine="720"/>
      </w:pPr>
      <w:proofErr w:type="gramStart"/>
      <w:r w:rsidRPr="00EA443E">
        <w:rPr>
          <w:b/>
        </w:rPr>
        <w:t>Section 17.</w:t>
      </w:r>
      <w:proofErr w:type="gramEnd"/>
      <w:r w:rsidRPr="00EA443E">
        <w:rPr>
          <w:b/>
        </w:rPr>
        <w:t xml:space="preserve"> Naming of certain gambling locations in the constitution – prohibited – definition</w:t>
      </w:r>
      <w:r w:rsidRPr="00D11D90">
        <w:rPr>
          <w:b/>
        </w:rPr>
        <w:t>.</w:t>
      </w:r>
      <w:r w:rsidRPr="00EA443E">
        <w:t xml:space="preserve"> (1)</w:t>
      </w:r>
      <w:r>
        <w:t xml:space="preserve"> </w:t>
      </w:r>
      <w:r w:rsidRPr="00EA443E">
        <w:rPr>
          <w:smallCaps/>
        </w:rPr>
        <w:t>No state licensing authority</w:t>
      </w:r>
      <w:r>
        <w:t xml:space="preserve"> …</w:t>
      </w:r>
    </w:p>
    <w:p w:rsidR="00455F0B" w:rsidRDefault="00EA443E" w:rsidP="006B0EB6">
      <w:pPr>
        <w:pStyle w:val="ListParagraph"/>
        <w:numPr>
          <w:ilvl w:val="0"/>
          <w:numId w:val="3"/>
        </w:numPr>
        <w:rPr>
          <w:szCs w:val="26"/>
        </w:rPr>
      </w:pPr>
      <w:r w:rsidRPr="00EA443E">
        <w:rPr>
          <w:szCs w:val="26"/>
          <w:lang w:val="en-CA"/>
        </w:rPr>
        <w:lastRenderedPageBreak/>
        <w:fldChar w:fldCharType="begin"/>
      </w:r>
      <w:r w:rsidRPr="00EA443E">
        <w:rPr>
          <w:szCs w:val="26"/>
          <w:lang w:val="en-CA"/>
        </w:rPr>
        <w:instrText xml:space="preserve"> SEQ CHAPTER \h \r 1</w:instrText>
      </w:r>
      <w:r w:rsidRPr="00EA443E">
        <w:rPr>
          <w:szCs w:val="26"/>
          <w:lang w:val="en-CA"/>
        </w:rPr>
        <w:fldChar w:fldCharType="end"/>
      </w:r>
      <w:r w:rsidRPr="00EA443E">
        <w:rPr>
          <w:szCs w:val="26"/>
        </w:rPr>
        <w:t>It is standard drafting practice for the first line of text to immediately follow the headnote on the same line instead of appearing on a separate line from the headnote.</w:t>
      </w:r>
      <w:r>
        <w:rPr>
          <w:szCs w:val="26"/>
        </w:rPr>
        <w:t xml:space="preserve"> See the example in technical comment 4.</w:t>
      </w:r>
    </w:p>
    <w:p w:rsidR="00F32535" w:rsidRPr="00F32535" w:rsidRDefault="00F32535" w:rsidP="00F32535">
      <w:pPr>
        <w:pStyle w:val="ListParagraph"/>
        <w:numPr>
          <w:ilvl w:val="0"/>
          <w:numId w:val="3"/>
        </w:numPr>
        <w:rPr>
          <w:smallCaps/>
        </w:rPr>
      </w:pPr>
      <w:r>
        <w:t>The word "</w:t>
      </w:r>
      <w:proofErr w:type="gramStart"/>
      <w:r>
        <w:t>shall" should</w:t>
      </w:r>
      <w:proofErr w:type="gramEnd"/>
      <w:r>
        <w:t xml:space="preserve"> be used to indicate that a person has a duty; it should not be used as a future</w:t>
      </w:r>
      <w:r>
        <w:noBreakHyphen/>
        <w:t xml:space="preserve">tense verb. See section 2-4-401 (6.5) and (13.7), Colorado Revised Statutes, which define "must" and "shall." Simple present tense verbs should be used when possible. </w:t>
      </w:r>
    </w:p>
    <w:p w:rsidR="00F32535" w:rsidRDefault="00F32535" w:rsidP="00F32535">
      <w:pPr>
        <w:pStyle w:val="ListParagraph"/>
        <w:numPr>
          <w:ilvl w:val="1"/>
          <w:numId w:val="3"/>
        </w:numPr>
        <w:rPr>
          <w:smallCaps/>
        </w:rPr>
      </w:pPr>
      <w:r>
        <w:rPr>
          <w:szCs w:val="26"/>
        </w:rPr>
        <w:t xml:space="preserve">With this definition of "shall", one should avoid using the phrase "no </w:t>
      </w:r>
      <w:r>
        <w:rPr>
          <w:szCs w:val="26"/>
        </w:rPr>
        <w:t>[entity]</w:t>
      </w:r>
      <w:r>
        <w:rPr>
          <w:szCs w:val="26"/>
        </w:rPr>
        <w:t xml:space="preserve"> shall" in a sentence written in active voice. For example, "No </w:t>
      </w:r>
      <w:r>
        <w:rPr>
          <w:szCs w:val="26"/>
        </w:rPr>
        <w:t>state licensing authority</w:t>
      </w:r>
      <w:r>
        <w:rPr>
          <w:szCs w:val="26"/>
        </w:rPr>
        <w:t xml:space="preserve"> shall </w:t>
      </w:r>
      <w:r>
        <w:rPr>
          <w:szCs w:val="26"/>
        </w:rPr>
        <w:t>grant</w:t>
      </w:r>
      <w:r>
        <w:rPr>
          <w:szCs w:val="26"/>
        </w:rPr>
        <w:t xml:space="preserve">..." means, literally, "no </w:t>
      </w:r>
      <w:r>
        <w:rPr>
          <w:szCs w:val="26"/>
        </w:rPr>
        <w:t>state licensing authority</w:t>
      </w:r>
      <w:r>
        <w:rPr>
          <w:szCs w:val="26"/>
        </w:rPr>
        <w:t xml:space="preserve"> has a duty to </w:t>
      </w:r>
      <w:r>
        <w:rPr>
          <w:szCs w:val="26"/>
        </w:rPr>
        <w:t>grant</w:t>
      </w:r>
      <w:r>
        <w:rPr>
          <w:szCs w:val="26"/>
        </w:rPr>
        <w:t xml:space="preserve">...." This would allow </w:t>
      </w:r>
      <w:r>
        <w:rPr>
          <w:szCs w:val="26"/>
        </w:rPr>
        <w:t>any state licensing authority</w:t>
      </w:r>
      <w:r>
        <w:rPr>
          <w:szCs w:val="26"/>
        </w:rPr>
        <w:t xml:space="preserve"> to </w:t>
      </w:r>
      <w:r>
        <w:rPr>
          <w:szCs w:val="26"/>
        </w:rPr>
        <w:t>grant the ability</w:t>
      </w:r>
      <w:r>
        <w:rPr>
          <w:szCs w:val="26"/>
        </w:rPr>
        <w:t xml:space="preserve"> specified because "no state licensing authority" has a duty, implying t</w:t>
      </w:r>
      <w:bookmarkStart w:id="0" w:name="_GoBack"/>
      <w:bookmarkEnd w:id="0"/>
      <w:r>
        <w:rPr>
          <w:szCs w:val="26"/>
        </w:rPr>
        <w:t>hat the action is discretionary or not prohibited.</w:t>
      </w:r>
      <w:r w:rsidRPr="00D84BE2">
        <w:t xml:space="preserve"> </w:t>
      </w:r>
      <w:r>
        <w:t xml:space="preserve">For example, the proponents may want to consider amending proposed </w:t>
      </w:r>
      <w:r>
        <w:t>subsection (1</w:t>
      </w:r>
      <w:r>
        <w:t>) to read: “</w:t>
      </w:r>
      <w:r>
        <w:rPr>
          <w:smallCaps/>
        </w:rPr>
        <w:t xml:space="preserve">A state licensing authority shall not </w:t>
      </w:r>
      <w:proofErr w:type="gramStart"/>
      <w:r>
        <w:rPr>
          <w:smallCaps/>
        </w:rPr>
        <w:t>grant</w:t>
      </w:r>
      <w:proofErr w:type="gramEnd"/>
      <w:r>
        <w:rPr>
          <w:smallCaps/>
        </w:rPr>
        <w:t xml:space="preserve"> an exclusive</w:t>
      </w:r>
      <w:r>
        <w:rPr>
          <w:smallCaps/>
        </w:rPr>
        <w:t>…."</w:t>
      </w:r>
    </w:p>
    <w:p w:rsidR="00F32535" w:rsidRDefault="00F32535" w:rsidP="00F32535">
      <w:pPr>
        <w:pStyle w:val="ListParagraph"/>
        <w:numPr>
          <w:ilvl w:val="1"/>
          <w:numId w:val="3"/>
        </w:numPr>
        <w:rPr>
          <w:smallCaps/>
        </w:rPr>
      </w:pPr>
      <w:r>
        <w:t>The proponents may want to consider amending proposed subsection (3) to read: “</w:t>
      </w:r>
      <w:r w:rsidR="004D2C28">
        <w:rPr>
          <w:smallCaps/>
        </w:rPr>
        <w:t>This prohibition is effective notwithstanding any other provision of law and applies to….”</w:t>
      </w:r>
    </w:p>
    <w:p w:rsidR="00F32535" w:rsidRDefault="00F32535" w:rsidP="00F32535">
      <w:pPr>
        <w:pStyle w:val="ListParagraph"/>
        <w:numPr>
          <w:ilvl w:val="0"/>
          <w:numId w:val="3"/>
        </w:numPr>
        <w:ind w:left="360" w:firstLine="0"/>
      </w:pPr>
    </w:p>
    <w:p w:rsidR="00F32535" w:rsidRDefault="00F32535" w:rsidP="00F32535">
      <w:pPr>
        <w:pStyle w:val="ListParagraph"/>
        <w:numPr>
          <w:ilvl w:val="0"/>
          <w:numId w:val="3"/>
        </w:numPr>
        <w:ind w:left="360" w:firstLine="0"/>
      </w:pPr>
    </w:p>
    <w:p w:rsidR="00F32535" w:rsidRPr="00F32535" w:rsidRDefault="00F32535" w:rsidP="00F32535">
      <w:pPr>
        <w:pStyle w:val="ListParagraph"/>
        <w:ind w:left="360"/>
      </w:pPr>
    </w:p>
    <w:p w:rsidR="00462392" w:rsidRPr="002A57A5" w:rsidRDefault="00462392" w:rsidP="002A57A5">
      <w:pPr>
        <w:pStyle w:val="ListParagraph"/>
        <w:numPr>
          <w:ilvl w:val="0"/>
          <w:numId w:val="3"/>
        </w:numPr>
        <w:rPr>
          <w:szCs w:val="26"/>
        </w:rPr>
      </w:pPr>
      <w:r>
        <w:rPr>
          <w:szCs w:val="26"/>
        </w:rPr>
        <w:t>Subsection (2) of the proposed initiative defines "Casino-style gambling" as "the use of slot machines, poker, blackjack, craps, roulette, or video lottery terminals … as those terms are defined in article XVIII …</w:t>
      </w:r>
      <w:r w:rsidR="00813493">
        <w:rPr>
          <w:szCs w:val="26"/>
        </w:rPr>
        <w:t>.</w:t>
      </w:r>
      <w:r>
        <w:rPr>
          <w:szCs w:val="26"/>
        </w:rPr>
        <w:t xml:space="preserve">" </w:t>
      </w:r>
      <w:r w:rsidR="00025B83">
        <w:rPr>
          <w:szCs w:val="26"/>
        </w:rPr>
        <w:t>H</w:t>
      </w:r>
      <w:r>
        <w:rPr>
          <w:szCs w:val="26"/>
        </w:rPr>
        <w:t>owever, section 9 of article XVIII, which contains the limited gaming provisions, does not define "slot machines," "poker," "blackjack," "craps," "roulette," or "video lottery terminals."</w:t>
      </w:r>
      <w:r w:rsidRPr="002A57A5">
        <w:rPr>
          <w:szCs w:val="26"/>
        </w:rPr>
        <w:t xml:space="preserve"> Section 9 (4) (b) of the Colorado constituti</w:t>
      </w:r>
      <w:r w:rsidR="00813493">
        <w:rPr>
          <w:szCs w:val="26"/>
        </w:rPr>
        <w:t>on defines "limited gaming" as</w:t>
      </w:r>
      <w:r w:rsidRPr="00462392">
        <w:t xml:space="preserve"> </w:t>
      </w:r>
      <w:r>
        <w:t>"</w:t>
      </w:r>
      <w:r w:rsidRPr="002A57A5">
        <w:rPr>
          <w:szCs w:val="26"/>
        </w:rPr>
        <w:t>the use of slot machines and the card games of blackjack and poker," and section 9 (7) of the Colorado constitution permits the cities of Central, Black Hawk, and Cripple Creek to approve the additional games of roulette or craps</w:t>
      </w:r>
      <w:r w:rsidR="00025B83">
        <w:rPr>
          <w:szCs w:val="26"/>
        </w:rPr>
        <w:t>,</w:t>
      </w:r>
      <w:r w:rsidRPr="002A57A5">
        <w:rPr>
          <w:szCs w:val="26"/>
        </w:rPr>
        <w:t xml:space="preserve"> or both</w:t>
      </w:r>
      <w:r w:rsidR="00025B83">
        <w:rPr>
          <w:szCs w:val="26"/>
        </w:rPr>
        <w:t>,</w:t>
      </w:r>
      <w:r w:rsidRPr="002A57A5">
        <w:rPr>
          <w:szCs w:val="26"/>
        </w:rPr>
        <w:t xml:space="preserve"> at a local election. Video lottery terminals are not included in section 9.</w:t>
      </w:r>
      <w:r w:rsidR="002A57A5" w:rsidRPr="002A57A5">
        <w:rPr>
          <w:szCs w:val="26"/>
        </w:rPr>
        <w:t xml:space="preserve"> To ensure clarity and encompass games not currently approved in article XVIII of the Colorado constitution, you may wish to change the definition of "casino-style gambling"</w:t>
      </w:r>
      <w:r w:rsidRPr="002A57A5">
        <w:rPr>
          <w:szCs w:val="26"/>
        </w:rPr>
        <w:t xml:space="preserve"> </w:t>
      </w:r>
      <w:r w:rsidR="002A57A5" w:rsidRPr="002A57A5">
        <w:rPr>
          <w:szCs w:val="26"/>
        </w:rPr>
        <w:t>to "</w:t>
      </w:r>
      <w:r w:rsidR="002A57A5" w:rsidRPr="002A57A5">
        <w:rPr>
          <w:i/>
          <w:szCs w:val="26"/>
        </w:rPr>
        <w:t xml:space="preserve">limited gaming as defined in section 9 of article XVIII of the </w:t>
      </w:r>
      <w:r w:rsidR="002A57A5" w:rsidRPr="002A57A5">
        <w:rPr>
          <w:i/>
          <w:szCs w:val="26"/>
        </w:rPr>
        <w:lastRenderedPageBreak/>
        <w:t xml:space="preserve">Colorado constitution </w:t>
      </w:r>
      <w:r w:rsidR="00025B83">
        <w:rPr>
          <w:i/>
          <w:szCs w:val="26"/>
        </w:rPr>
        <w:t>and</w:t>
      </w:r>
      <w:r w:rsidR="00AC7691">
        <w:rPr>
          <w:i/>
          <w:szCs w:val="26"/>
        </w:rPr>
        <w:t xml:space="preserve"> in</w:t>
      </w:r>
      <w:r w:rsidR="00025B83">
        <w:rPr>
          <w:i/>
          <w:szCs w:val="26"/>
        </w:rPr>
        <w:t xml:space="preserve"> implementing legislation and rules, </w:t>
      </w:r>
      <w:r w:rsidR="00425D21">
        <w:rPr>
          <w:i/>
          <w:szCs w:val="26"/>
        </w:rPr>
        <w:t>including any</w:t>
      </w:r>
      <w:r w:rsidR="002A57A5" w:rsidRPr="002A57A5">
        <w:rPr>
          <w:i/>
          <w:szCs w:val="26"/>
        </w:rPr>
        <w:t xml:space="preserve"> games approved by voters on or after November 4, 2014</w:t>
      </w:r>
      <w:r w:rsidR="002A57A5" w:rsidRPr="002A57A5">
        <w:rPr>
          <w:szCs w:val="26"/>
        </w:rPr>
        <w:t>."</w:t>
      </w:r>
    </w:p>
    <w:p w:rsidR="00EA443E" w:rsidRDefault="00872005" w:rsidP="006B0EB6">
      <w:pPr>
        <w:pStyle w:val="ListParagraph"/>
        <w:numPr>
          <w:ilvl w:val="0"/>
          <w:numId w:val="3"/>
        </w:numPr>
        <w:rPr>
          <w:szCs w:val="26"/>
        </w:rPr>
      </w:pPr>
      <w:r>
        <w:rPr>
          <w:szCs w:val="26"/>
        </w:rPr>
        <w:t xml:space="preserve">When citing a provision in the Colorado constitution, it is standard drafting practice to include the </w:t>
      </w:r>
      <w:r w:rsidR="00813493">
        <w:rPr>
          <w:szCs w:val="26"/>
        </w:rPr>
        <w:t>phrase</w:t>
      </w:r>
      <w:r>
        <w:rPr>
          <w:szCs w:val="26"/>
        </w:rPr>
        <w:t xml:space="preserve"> "Colorado</w:t>
      </w:r>
      <w:r w:rsidR="00813493">
        <w:rPr>
          <w:szCs w:val="26"/>
        </w:rPr>
        <w:t xml:space="preserve"> constitution" in the citation. F</w:t>
      </w:r>
      <w:r>
        <w:rPr>
          <w:szCs w:val="26"/>
        </w:rPr>
        <w:t>or example</w:t>
      </w:r>
      <w:r w:rsidR="00813493">
        <w:rPr>
          <w:szCs w:val="26"/>
        </w:rPr>
        <w:t>, in subsection (2),</w:t>
      </w:r>
      <w:r>
        <w:rPr>
          <w:szCs w:val="26"/>
        </w:rPr>
        <w:t xml:space="preserve"> "…</w:t>
      </w:r>
      <w:r w:rsidR="007A4D58">
        <w:rPr>
          <w:szCs w:val="26"/>
        </w:rPr>
        <w:t> </w:t>
      </w:r>
      <w:r w:rsidRPr="00872005">
        <w:rPr>
          <w:smallCaps/>
          <w:szCs w:val="26"/>
        </w:rPr>
        <w:t>are defined in article XVIII of the Colorado constitution</w:t>
      </w:r>
      <w:r>
        <w:rPr>
          <w:szCs w:val="26"/>
        </w:rPr>
        <w:t>."</w:t>
      </w:r>
    </w:p>
    <w:p w:rsidR="007A4D58" w:rsidRDefault="007A4D58" w:rsidP="006B0EB6">
      <w:pPr>
        <w:pStyle w:val="ListParagraph"/>
        <w:numPr>
          <w:ilvl w:val="0"/>
          <w:numId w:val="3"/>
        </w:numPr>
        <w:rPr>
          <w:szCs w:val="26"/>
        </w:rPr>
      </w:pPr>
      <w:r w:rsidRPr="007A4D58">
        <w:rPr>
          <w:szCs w:val="26"/>
          <w:lang w:val="en-CA"/>
        </w:rPr>
        <w:fldChar w:fldCharType="begin"/>
      </w:r>
      <w:r w:rsidRPr="007A4D58">
        <w:rPr>
          <w:szCs w:val="26"/>
          <w:lang w:val="en-CA"/>
        </w:rPr>
        <w:instrText xml:space="preserve"> SEQ CHAPTER \h \r 1</w:instrText>
      </w:r>
      <w:r w:rsidRPr="007A4D58">
        <w:rPr>
          <w:szCs w:val="26"/>
          <w:lang w:val="en-CA"/>
        </w:rPr>
        <w:fldChar w:fldCharType="end"/>
      </w:r>
      <w:r w:rsidR="00813493">
        <w:rPr>
          <w:szCs w:val="26"/>
        </w:rPr>
        <w:t>A</w:t>
      </w:r>
      <w:r w:rsidRPr="007A4D58">
        <w:rPr>
          <w:szCs w:val="26"/>
        </w:rPr>
        <w:t>lthough the text of the proposed initiative should be in small capital letters, a large capital letter should be used to indicate capitalization where appropriate. The following should be large capitalized:</w:t>
      </w:r>
    </w:p>
    <w:p w:rsidR="007A4D58" w:rsidRPr="007A4D58" w:rsidRDefault="007A4D58" w:rsidP="007A4D58">
      <w:pPr>
        <w:pStyle w:val="ListParagraph"/>
        <w:numPr>
          <w:ilvl w:val="1"/>
          <w:numId w:val="3"/>
        </w:numPr>
        <w:rPr>
          <w:szCs w:val="26"/>
        </w:rPr>
      </w:pPr>
      <w:r>
        <w:t>The first letter of the first word of each sentence;</w:t>
      </w:r>
    </w:p>
    <w:p w:rsidR="007A4D58" w:rsidRPr="007A4D58" w:rsidRDefault="007A4D58" w:rsidP="007A4D58">
      <w:pPr>
        <w:pStyle w:val="ListParagraph"/>
        <w:numPr>
          <w:ilvl w:val="1"/>
          <w:numId w:val="3"/>
        </w:numPr>
        <w:rPr>
          <w:szCs w:val="26"/>
        </w:rPr>
      </w:pPr>
      <w:r>
        <w:t>The first letter of proper names; and</w:t>
      </w:r>
    </w:p>
    <w:p w:rsidR="007A4D58" w:rsidRPr="007A4D58" w:rsidRDefault="007A4D58" w:rsidP="007A4D58">
      <w:pPr>
        <w:pStyle w:val="ListParagraph"/>
        <w:numPr>
          <w:ilvl w:val="1"/>
          <w:numId w:val="3"/>
        </w:numPr>
        <w:rPr>
          <w:szCs w:val="26"/>
        </w:rPr>
      </w:pPr>
      <w:r>
        <w:t xml:space="preserve">The first letter of the first word of each entry of an enumeration paragraphed after a colon. For example, in paragraphs (a) and (b) of subsection (3), the word </w:t>
      </w:r>
      <w:r w:rsidRPr="007A4D58">
        <w:rPr>
          <w:smallCaps/>
        </w:rPr>
        <w:t>"The</w:t>
      </w:r>
      <w:r>
        <w:t>" and the word "</w:t>
      </w:r>
      <w:r w:rsidRPr="007A4D58">
        <w:rPr>
          <w:smallCaps/>
        </w:rPr>
        <w:t>Any</w:t>
      </w:r>
      <w:r>
        <w:t>" should have a large capital letter.</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6B0EB6" w:rsidRDefault="006B0EB6" w:rsidP="00AC7691">
      <w:pPr>
        <w:pStyle w:val="ListParagraph"/>
        <w:numPr>
          <w:ilvl w:val="0"/>
          <w:numId w:val="4"/>
        </w:numPr>
      </w:pPr>
      <w:r>
        <w:t xml:space="preserve"> </w:t>
      </w:r>
      <w:r w:rsidR="00AC7691" w:rsidRPr="00AC7691">
        <w:t>Section 1 (5.5) of article V of the Colorado constitution requires all proposed initiatives to have a single subject. What is the single subject of the proposed initiative?</w:t>
      </w:r>
    </w:p>
    <w:p w:rsidR="006B0EB6" w:rsidRDefault="00132573" w:rsidP="006B0EB6">
      <w:pPr>
        <w:pStyle w:val="ListParagraph"/>
        <w:numPr>
          <w:ilvl w:val="0"/>
          <w:numId w:val="4"/>
        </w:numPr>
      </w:pPr>
      <w:r>
        <w:t xml:space="preserve">Subsection (1) of the initiative has at least </w:t>
      </w:r>
      <w:r w:rsidR="00C06BAA">
        <w:t>four</w:t>
      </w:r>
      <w:r>
        <w:t xml:space="preserve"> possible </w:t>
      </w:r>
      <w:r w:rsidR="00813493">
        <w:t xml:space="preserve">interpretations, listed below. </w:t>
      </w:r>
      <w:r>
        <w:t>Which do you intend?</w:t>
      </w:r>
    </w:p>
    <w:p w:rsidR="00132573" w:rsidRDefault="00132573" w:rsidP="00132573">
      <w:pPr>
        <w:pStyle w:val="ListParagraph"/>
        <w:numPr>
          <w:ilvl w:val="1"/>
          <w:numId w:val="4"/>
        </w:numPr>
      </w:pPr>
      <w:r>
        <w:t xml:space="preserve">The current geographic limitation of “casino-style gambling” (as defined in this initiative) to Central City, Black Hawk, and Cripple Creek is exclusive. No </w:t>
      </w:r>
      <w:r w:rsidR="003D6714">
        <w:t>“</w:t>
      </w:r>
      <w:r>
        <w:t>casino-style gambling</w:t>
      </w:r>
      <w:r w:rsidR="003D6714">
        <w:t>”</w:t>
      </w:r>
      <w:r>
        <w:t xml:space="preserve"> may be conducted by anyone at any other location as a result of a</w:t>
      </w:r>
      <w:r w:rsidR="00141D4A">
        <w:t>n</w:t>
      </w:r>
      <w:r>
        <w:t xml:space="preserve"> initiative</w:t>
      </w:r>
      <w:r w:rsidR="00141D4A">
        <w:t xml:space="preserve"> that </w:t>
      </w:r>
      <w:r w:rsidR="00425D21">
        <w:t>is not already part of the Colorado constitution</w:t>
      </w:r>
      <w:r>
        <w:t>.</w:t>
      </w:r>
    </w:p>
    <w:p w:rsidR="00041CFC" w:rsidRDefault="003D6714" w:rsidP="003D6714">
      <w:pPr>
        <w:pStyle w:val="ListParagraph"/>
        <w:numPr>
          <w:ilvl w:val="1"/>
          <w:numId w:val="4"/>
        </w:numPr>
      </w:pPr>
      <w:r>
        <w:t>Casino-style gambling may be conducted at o</w:t>
      </w:r>
      <w:r w:rsidR="00132573">
        <w:t xml:space="preserve">ther locations </w:t>
      </w:r>
      <w:r>
        <w:t xml:space="preserve">as a result of </w:t>
      </w:r>
      <w:r w:rsidR="00425D21">
        <w:t xml:space="preserve">pending or </w:t>
      </w:r>
      <w:r>
        <w:t>future initiatives, but the licenses granted may not be exclusive</w:t>
      </w:r>
      <w:r w:rsidR="00425D21">
        <w:t>,</w:t>
      </w:r>
      <w:r>
        <w:t xml:space="preserve"> </w:t>
      </w:r>
      <w:r w:rsidR="00425D21" w:rsidRPr="00425D21">
        <w:rPr>
          <w:i/>
        </w:rPr>
        <w:t>i.e.</w:t>
      </w:r>
      <w:r>
        <w:t>, no license</w:t>
      </w:r>
      <w:r w:rsidR="00813493">
        <w:t>e may have a monopoly on casino</w:t>
      </w:r>
      <w:r w:rsidR="00813493">
        <w:noBreakHyphen/>
      </w:r>
      <w:r>
        <w:t xml:space="preserve">style gambling within those </w:t>
      </w:r>
      <w:r w:rsidR="00425D21">
        <w:t xml:space="preserve">newly authorized </w:t>
      </w:r>
      <w:r>
        <w:t xml:space="preserve">areas. </w:t>
      </w:r>
    </w:p>
    <w:p w:rsidR="003D6714" w:rsidRDefault="00041CFC" w:rsidP="00430DFE">
      <w:pPr>
        <w:pStyle w:val="ListParagraph"/>
        <w:numPr>
          <w:ilvl w:val="1"/>
          <w:numId w:val="4"/>
        </w:numPr>
      </w:pPr>
      <w:r>
        <w:lastRenderedPageBreak/>
        <w:t xml:space="preserve">Casino-style gambling may be conducted at other locations as a result of future initiatives, but the licenses granted may not be exclusive either in those new locations </w:t>
      </w:r>
      <w:r w:rsidRPr="00041CFC">
        <w:rPr>
          <w:i/>
        </w:rPr>
        <w:t>or</w:t>
      </w:r>
      <w:r>
        <w:t xml:space="preserve"> in Central City, Black Hawk, and Cripple Creek</w:t>
      </w:r>
      <w:r w:rsidR="00425D21">
        <w:t>.</w:t>
      </w:r>
      <w:r>
        <w:t xml:space="preserve"> </w:t>
      </w:r>
      <w:r w:rsidR="00430DFE">
        <w:rPr>
          <w:b/>
        </w:rPr>
        <w:t xml:space="preserve">Note: </w:t>
      </w:r>
      <w:r w:rsidR="00141D4A">
        <w:t>T</w:t>
      </w:r>
      <w:r w:rsidR="00C72B9A">
        <w:t xml:space="preserve">his interpretation is based on the absence of the word “only” or “exclusively” from subsection (3), which states </w:t>
      </w:r>
      <w:r w:rsidR="00773C96">
        <w:t>that “[t]his prohibition [</w:t>
      </w:r>
      <w:r w:rsidR="00773C96" w:rsidRPr="00430DFE">
        <w:rPr>
          <w:i/>
        </w:rPr>
        <w:t>i.e.</w:t>
      </w:r>
      <w:r w:rsidR="00773C96">
        <w:t xml:space="preserve">, the prohibition in subsection (1)?] … </w:t>
      </w:r>
      <w:proofErr w:type="gramStart"/>
      <w:r w:rsidR="00773C96">
        <w:t>shall</w:t>
      </w:r>
      <w:proofErr w:type="gramEnd"/>
      <w:r w:rsidR="00773C96">
        <w:t xml:space="preserve"> apply to any initiative adopted [on or after Nov. 4, 2014]”</w:t>
      </w:r>
      <w:r w:rsidR="00430DFE">
        <w:t xml:space="preserve"> but </w:t>
      </w:r>
      <w:r w:rsidR="00773C96">
        <w:t xml:space="preserve">does not specifically state that the prohibition does </w:t>
      </w:r>
      <w:r w:rsidR="00773C96" w:rsidRPr="00773C96">
        <w:rPr>
          <w:i/>
        </w:rPr>
        <w:t>not</w:t>
      </w:r>
      <w:r w:rsidR="00773C96">
        <w:t xml:space="preserve"> apply to initiatives adopted </w:t>
      </w:r>
      <w:r w:rsidR="00773C96" w:rsidRPr="00773C96">
        <w:rPr>
          <w:i/>
        </w:rPr>
        <w:t>before</w:t>
      </w:r>
      <w:r w:rsidR="00773C96">
        <w:t xml:space="preserve"> Nov. 4, 2014.</w:t>
      </w:r>
      <w:r w:rsidR="00430DFE">
        <w:t xml:space="preserve"> S</w:t>
      </w:r>
      <w:r w:rsidR="00430DFE" w:rsidRPr="00430DFE">
        <w:t xml:space="preserve">ince </w:t>
      </w:r>
      <w:r w:rsidR="00430DFE">
        <w:t>Central City, Black Hawk, and Cripple Creek were “identified” in an initiative adopted before Nov. 4, 2014</w:t>
      </w:r>
      <w:r w:rsidR="00813493">
        <w:t>—w</w:t>
      </w:r>
      <w:r w:rsidR="00430DFE">
        <w:t xml:space="preserve">hich would be included in the term </w:t>
      </w:r>
      <w:r w:rsidR="00430DFE" w:rsidRPr="00430DFE">
        <w:t>“any general election”</w:t>
      </w:r>
      <w:r w:rsidR="00813493">
        <w:t>, as stated in subsection (1)—a</w:t>
      </w:r>
      <w:r w:rsidR="00430DFE">
        <w:t>rguably they are included in th</w:t>
      </w:r>
      <w:r w:rsidR="00C06BAA">
        <w:t>e prohibition in subsection (1) and therefore licenses granted in those areas may not be exclusive.</w:t>
      </w:r>
    </w:p>
    <w:p w:rsidR="00C06BAA" w:rsidRDefault="00C06BAA" w:rsidP="00430DFE">
      <w:pPr>
        <w:pStyle w:val="ListParagraph"/>
        <w:numPr>
          <w:ilvl w:val="1"/>
          <w:numId w:val="4"/>
        </w:numPr>
      </w:pPr>
      <w:r>
        <w:t xml:space="preserve">Casino-style gambling may be conducted anywhere in Colorado. </w:t>
      </w:r>
      <w:r>
        <w:rPr>
          <w:b/>
        </w:rPr>
        <w:t>Note:</w:t>
      </w:r>
      <w:r w:rsidRPr="00C06BAA">
        <w:t xml:space="preserve"> This</w:t>
      </w:r>
      <w:r>
        <w:t xml:space="preserve"> interpretation is also based on the absence of the term “only” or “exclusively” in subsection (3).</w:t>
      </w:r>
    </w:p>
    <w:p w:rsidR="00455F0B" w:rsidRDefault="003D6714" w:rsidP="003D6714">
      <w:pPr>
        <w:pStyle w:val="ListParagraph"/>
        <w:numPr>
          <w:ilvl w:val="0"/>
          <w:numId w:val="4"/>
        </w:numPr>
      </w:pPr>
      <w:r w:rsidRPr="003D6714">
        <w:t xml:space="preserve">It appears that this initiative is written to allow it to be submitted alongside </w:t>
      </w:r>
      <w:r w:rsidR="00813493">
        <w:t>i</w:t>
      </w:r>
      <w:r w:rsidRPr="003D6714">
        <w:t xml:space="preserve">nitiative </w:t>
      </w:r>
      <w:r w:rsidRPr="003D6714">
        <w:rPr>
          <w:u w:val="single"/>
        </w:rPr>
        <w:t>2013-2014 #141</w:t>
      </w:r>
      <w:r w:rsidRPr="003D6714">
        <w:t xml:space="preserve"> or </w:t>
      </w:r>
      <w:r w:rsidRPr="003D6714">
        <w:rPr>
          <w:u w:val="single"/>
        </w:rPr>
        <w:t>142</w:t>
      </w:r>
      <w:r w:rsidRPr="003D6714">
        <w:t>, which would prohibit single-licensee monopolies on one or more types of gambl</w:t>
      </w:r>
      <w:r w:rsidR="00813493">
        <w:t xml:space="preserve">ing in a single county. </w:t>
      </w:r>
      <w:r>
        <w:t>Under i</w:t>
      </w:r>
      <w:r w:rsidRPr="003D6714">
        <w:t xml:space="preserve">nterpretation </w:t>
      </w:r>
      <w:r>
        <w:t>“b.” above</w:t>
      </w:r>
      <w:r w:rsidRPr="003D6714">
        <w:t xml:space="preserve">, would this initiative be redundant if </w:t>
      </w:r>
      <w:r w:rsidR="00813493">
        <w:t>it were to be passed alongside i</w:t>
      </w:r>
      <w:r w:rsidRPr="003D6714">
        <w:t xml:space="preserve">nitiative </w:t>
      </w:r>
      <w:r w:rsidRPr="003D6714">
        <w:rPr>
          <w:u w:val="single"/>
        </w:rPr>
        <w:t>141</w:t>
      </w:r>
      <w:r w:rsidRPr="003D6714">
        <w:t xml:space="preserve"> or </w:t>
      </w:r>
      <w:r w:rsidRPr="003D6714">
        <w:rPr>
          <w:u w:val="single"/>
        </w:rPr>
        <w:t>142</w:t>
      </w:r>
      <w:r w:rsidRPr="003D6714">
        <w:t>?</w:t>
      </w:r>
    </w:p>
    <w:p w:rsidR="003D6714" w:rsidRDefault="00041CFC" w:rsidP="00041CFC">
      <w:pPr>
        <w:pStyle w:val="ListParagraph"/>
        <w:numPr>
          <w:ilvl w:val="0"/>
          <w:numId w:val="4"/>
        </w:numPr>
      </w:pPr>
      <w:r w:rsidRPr="00041CFC">
        <w:t xml:space="preserve">Under </w:t>
      </w:r>
      <w:r>
        <w:t>i</w:t>
      </w:r>
      <w:r w:rsidRPr="00041CFC">
        <w:t xml:space="preserve">nterpretation </w:t>
      </w:r>
      <w:r>
        <w:t>“b.”</w:t>
      </w:r>
      <w:r w:rsidRPr="00041CFC">
        <w:t xml:space="preserve">, how small a </w:t>
      </w:r>
      <w:r>
        <w:t>“</w:t>
      </w:r>
      <w:r w:rsidRPr="00041CFC">
        <w:t>geographic site</w:t>
      </w:r>
      <w:r>
        <w:t>”</w:t>
      </w:r>
      <w:r w:rsidRPr="00041CFC">
        <w:t xml:space="preserve"> </w:t>
      </w:r>
      <w:r w:rsidR="00430DFE">
        <w:t xml:space="preserve">(the term used in subsection (1)) </w:t>
      </w:r>
      <w:r w:rsidR="00813493">
        <w:t>is intended by the proponents?</w:t>
      </w:r>
      <w:r w:rsidRPr="00041CFC">
        <w:t xml:space="preserve"> For example, would it be unconstitutional for a single licensee to have an exclusive ability to conduct casino-style gambling </w:t>
      </w:r>
      <w:r>
        <w:t>within</w:t>
      </w:r>
      <w:r w:rsidRPr="00041CFC">
        <w:t xml:space="preserve"> a specific building?</w:t>
      </w:r>
    </w:p>
    <w:p w:rsidR="00C06BAA" w:rsidRDefault="00C06BAA" w:rsidP="00C06BAA">
      <w:pPr>
        <w:pStyle w:val="ListParagraph"/>
        <w:numPr>
          <w:ilvl w:val="0"/>
          <w:numId w:val="4"/>
        </w:numPr>
        <w:spacing w:after="200" w:line="276" w:lineRule="auto"/>
        <w:contextualSpacing/>
        <w:jc w:val="left"/>
      </w:pPr>
      <w:r>
        <w:t>Tax revenues from limited gaming and from “extended limited gaming” (under</w:t>
      </w:r>
      <w:r w:rsidR="00A60A74">
        <w:t xml:space="preserve"> the 2008</w:t>
      </w:r>
      <w:r>
        <w:t xml:space="preserve"> “Amendment 50”) are distributed to specific municipalities (the cities of Central, Black Hawk, and Cripple Creek) and counties (the counties of Gilpin and Teller). </w:t>
      </w:r>
      <w:r w:rsidR="00A60A74">
        <w:t xml:space="preserve">If this initiative results in gaming tax revenues from other municipalities or counties, how should those revenues </w:t>
      </w:r>
      <w:proofErr w:type="gramStart"/>
      <w:r w:rsidR="00A60A74">
        <w:t>be</w:t>
      </w:r>
      <w:proofErr w:type="gramEnd"/>
      <w:r w:rsidR="00A60A74">
        <w:t xml:space="preserve"> distributed</w:t>
      </w:r>
      <w:r>
        <w:t>?</w:t>
      </w:r>
    </w:p>
    <w:p w:rsidR="00A60A74" w:rsidRDefault="00A60A74" w:rsidP="00A60A74">
      <w:pPr>
        <w:pStyle w:val="ListParagraph"/>
        <w:spacing w:after="200" w:line="276" w:lineRule="auto"/>
        <w:contextualSpacing/>
        <w:jc w:val="left"/>
      </w:pPr>
    </w:p>
    <w:p w:rsidR="00A60A74" w:rsidRDefault="00A60A74" w:rsidP="00A60A74">
      <w:pPr>
        <w:pStyle w:val="ListParagraph"/>
        <w:numPr>
          <w:ilvl w:val="0"/>
          <w:numId w:val="4"/>
        </w:numPr>
        <w:spacing w:after="200" w:line="276" w:lineRule="auto"/>
        <w:contextualSpacing/>
        <w:jc w:val="left"/>
      </w:pPr>
      <w:r>
        <w:t>It appears that this initiative is written to allow it to</w:t>
      </w:r>
      <w:r w:rsidR="00813493">
        <w:t xml:space="preserve"> be submitted alongside one of i</w:t>
      </w:r>
      <w:r>
        <w:t xml:space="preserve">nitiatives </w:t>
      </w:r>
      <w:r w:rsidRPr="00A60A74">
        <w:rPr>
          <w:u w:val="single"/>
        </w:rPr>
        <w:t>143</w:t>
      </w:r>
      <w:r>
        <w:t xml:space="preserve"> through </w:t>
      </w:r>
      <w:r w:rsidRPr="00A60A74">
        <w:rPr>
          <w:u w:val="single"/>
        </w:rPr>
        <w:t>145</w:t>
      </w:r>
      <w:r>
        <w:t>, which would prohibit casino-style gambling within one mile of a school. If one or more of those initiatives passed in addition to this one, would they conflict, and if so, which should prevail?</w:t>
      </w:r>
    </w:p>
    <w:p w:rsidR="00AA403C" w:rsidRDefault="00AA403C" w:rsidP="00AA403C">
      <w:pPr>
        <w:pStyle w:val="ListParagraph"/>
      </w:pPr>
    </w:p>
    <w:p w:rsidR="00AA403C" w:rsidRPr="00051F39" w:rsidRDefault="00AA403C" w:rsidP="00A60A74">
      <w:pPr>
        <w:pStyle w:val="ListParagraph"/>
        <w:numPr>
          <w:ilvl w:val="0"/>
          <w:numId w:val="4"/>
        </w:numPr>
        <w:spacing w:after="200" w:line="276" w:lineRule="auto"/>
        <w:contextualSpacing/>
        <w:jc w:val="left"/>
      </w:pPr>
      <w:r>
        <w:t>The proposed initiative applies only to initiatives, so the general assembly would still be able to refer a measure to the ballot that authorized an exclusive ability to conduct casino-style gambling. Is that the proponents’ intent?</w:t>
      </w:r>
    </w:p>
    <w:sectPr w:rsidR="00AA403C" w:rsidRPr="00051F39"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392" w:rsidRDefault="00462392" w:rsidP="00245641">
      <w:r>
        <w:separator/>
      </w:r>
    </w:p>
  </w:endnote>
  <w:endnote w:type="continuationSeparator" w:id="0">
    <w:p w:rsidR="00462392" w:rsidRDefault="00462392"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94A18DD6-953A-447F-A035-01FE867D5F96}"/>
    <w:embedBold r:id="rId2" w:fontKey="{68BFA95C-ADF1-406B-8040-3355D202B6B5}"/>
    <w:embedItalic r:id="rId3" w:fontKey="{5D5EA9F4-586C-4F61-8689-DEE23024297C}"/>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embedRegular r:id="rId4" w:fontKey="{C1BF3E85-B5B2-4145-B202-382B1086B7B8}"/>
    <w:embedBold r:id="rId5" w:fontKey="{EBA75CA6-BF11-4BC3-882A-B2B5A6B5733C}"/>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4D2C28"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2</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6</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934182">
      <w:rPr>
        <w:rFonts w:ascii="Times New Roman" w:hAnsi="Times New Roman" w:cs="Times New Roman"/>
        <w:noProof/>
        <w:sz w:val="16"/>
        <w:szCs w:val="16"/>
      </w:rPr>
      <w:t>S:\PUBLIC\BALLOT\2013-2014CYCLE\2014REV&amp;COMMEMOS\2013-2014 #138.DOCX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392" w:rsidRDefault="00462392" w:rsidP="00245641">
      <w:r>
        <w:separator/>
      </w:r>
    </w:p>
  </w:footnote>
  <w:footnote w:type="continuationSeparator" w:id="0">
    <w:p w:rsidR="00462392" w:rsidRDefault="00462392"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3D04057E" wp14:editId="5E538E1C">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467FB21F" wp14:editId="2BE122F5">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706E6B8" wp14:editId="5ECE1941">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3ABA88F" wp14:editId="0B6E368A">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87B23"/>
    <w:multiLevelType w:val="hybridMultilevel"/>
    <w:tmpl w:val="89DE8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F34E71"/>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AA6374"/>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FF2769"/>
    <w:multiLevelType w:val="hybridMultilevel"/>
    <w:tmpl w:val="25D4B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392"/>
    <w:rsid w:val="00025B83"/>
    <w:rsid w:val="00041CFC"/>
    <w:rsid w:val="000514AC"/>
    <w:rsid w:val="00067D5F"/>
    <w:rsid w:val="000728AB"/>
    <w:rsid w:val="00132573"/>
    <w:rsid w:val="00141D4A"/>
    <w:rsid w:val="001C4E17"/>
    <w:rsid w:val="002306FA"/>
    <w:rsid w:val="00245641"/>
    <w:rsid w:val="002A57A5"/>
    <w:rsid w:val="002A5A4D"/>
    <w:rsid w:val="003B6207"/>
    <w:rsid w:val="003D554C"/>
    <w:rsid w:val="003D6714"/>
    <w:rsid w:val="00425D21"/>
    <w:rsid w:val="00430DFE"/>
    <w:rsid w:val="00455F0B"/>
    <w:rsid w:val="00462392"/>
    <w:rsid w:val="00471D75"/>
    <w:rsid w:val="004926FF"/>
    <w:rsid w:val="004D2C28"/>
    <w:rsid w:val="004D7222"/>
    <w:rsid w:val="004F0279"/>
    <w:rsid w:val="005276D8"/>
    <w:rsid w:val="00557A93"/>
    <w:rsid w:val="005A2902"/>
    <w:rsid w:val="005C0038"/>
    <w:rsid w:val="006B0EB6"/>
    <w:rsid w:val="00773C96"/>
    <w:rsid w:val="007875F6"/>
    <w:rsid w:val="007905EC"/>
    <w:rsid w:val="007A4D58"/>
    <w:rsid w:val="007A624F"/>
    <w:rsid w:val="007F1D8B"/>
    <w:rsid w:val="00813493"/>
    <w:rsid w:val="00872005"/>
    <w:rsid w:val="008A184B"/>
    <w:rsid w:val="008A2A2D"/>
    <w:rsid w:val="008C4B03"/>
    <w:rsid w:val="00934182"/>
    <w:rsid w:val="00945390"/>
    <w:rsid w:val="009B7AFD"/>
    <w:rsid w:val="009D45C1"/>
    <w:rsid w:val="00A60A74"/>
    <w:rsid w:val="00A627FE"/>
    <w:rsid w:val="00AA403C"/>
    <w:rsid w:val="00AB10A3"/>
    <w:rsid w:val="00AC7691"/>
    <w:rsid w:val="00B01D26"/>
    <w:rsid w:val="00B1148D"/>
    <w:rsid w:val="00B140B8"/>
    <w:rsid w:val="00B930E3"/>
    <w:rsid w:val="00BA5E79"/>
    <w:rsid w:val="00BE0C62"/>
    <w:rsid w:val="00BF34A7"/>
    <w:rsid w:val="00C06BAA"/>
    <w:rsid w:val="00C10581"/>
    <w:rsid w:val="00C576CD"/>
    <w:rsid w:val="00C62563"/>
    <w:rsid w:val="00C72B9A"/>
    <w:rsid w:val="00C7480A"/>
    <w:rsid w:val="00D0562A"/>
    <w:rsid w:val="00D1167B"/>
    <w:rsid w:val="00D11D90"/>
    <w:rsid w:val="00D13282"/>
    <w:rsid w:val="00D52F8E"/>
    <w:rsid w:val="00D635F2"/>
    <w:rsid w:val="00E0030A"/>
    <w:rsid w:val="00EA443E"/>
    <w:rsid w:val="00EB228F"/>
    <w:rsid w:val="00F32535"/>
    <w:rsid w:val="00FB0F15"/>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 w:type="paragraph" w:customStyle="1" w:styleId="ListParagra">
    <w:name w:val="List Paragra"/>
    <w:uiPriority w:val="99"/>
    <w:rsid w:val="008C4B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 w:type="paragraph" w:customStyle="1" w:styleId="ListParagra">
    <w:name w:val="List Paragra"/>
    <w:uiPriority w:val="99"/>
    <w:rsid w:val="008C4B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461559">
      <w:bodyDiv w:val="1"/>
      <w:marLeft w:val="0"/>
      <w:marRight w:val="0"/>
      <w:marTop w:val="0"/>
      <w:marBottom w:val="0"/>
      <w:divBdr>
        <w:top w:val="none" w:sz="0" w:space="0" w:color="auto"/>
        <w:left w:val="none" w:sz="0" w:space="0" w:color="auto"/>
        <w:bottom w:val="none" w:sz="0" w:space="0" w:color="auto"/>
        <w:right w:val="none" w:sz="0" w:space="0" w:color="auto"/>
      </w:divBdr>
      <w:divsChild>
        <w:div w:id="1994721065">
          <w:marLeft w:val="0"/>
          <w:marRight w:val="0"/>
          <w:marTop w:val="0"/>
          <w:marBottom w:val="0"/>
          <w:divBdr>
            <w:top w:val="none" w:sz="0" w:space="0" w:color="auto"/>
            <w:left w:val="none" w:sz="0" w:space="0" w:color="auto"/>
            <w:bottom w:val="none" w:sz="0" w:space="0" w:color="auto"/>
            <w:right w:val="none" w:sz="0" w:space="0" w:color="auto"/>
          </w:divBdr>
        </w:div>
        <w:div w:id="1104686845">
          <w:marLeft w:val="0"/>
          <w:marRight w:val="0"/>
          <w:marTop w:val="0"/>
          <w:marBottom w:val="0"/>
          <w:divBdr>
            <w:top w:val="none" w:sz="0" w:space="0" w:color="auto"/>
            <w:left w:val="none" w:sz="0" w:space="0" w:color="auto"/>
            <w:bottom w:val="none" w:sz="0" w:space="0" w:color="auto"/>
            <w:right w:val="none" w:sz="0" w:space="0" w:color="auto"/>
          </w:divBdr>
          <w:divsChild>
            <w:div w:id="9571025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478</TotalTime>
  <Pages>6</Pages>
  <Words>1531</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10244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Hausman</dc:creator>
  <cp:lastModifiedBy>Kate McCarthy</cp:lastModifiedBy>
  <cp:revision>12</cp:revision>
  <cp:lastPrinted>2014-03-31T16:36:00Z</cp:lastPrinted>
  <dcterms:created xsi:type="dcterms:W3CDTF">2014-03-26T15:20:00Z</dcterms:created>
  <dcterms:modified xsi:type="dcterms:W3CDTF">2014-04-02T16:52:00Z</dcterms:modified>
</cp:coreProperties>
</file>