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Default="00945390" w:rsidP="006B0EB6">
      <w:pPr>
        <w:jc w:val="center"/>
        <w:rPr>
          <w:b/>
        </w:rPr>
      </w:pPr>
      <w:r w:rsidRPr="003B6207">
        <w:rPr>
          <w:b/>
        </w:rPr>
        <w:t>MEMORANDUM</w:t>
      </w:r>
    </w:p>
    <w:p w:rsidR="003B6207" w:rsidRPr="003B6207" w:rsidRDefault="00207C49" w:rsidP="006B0EB6">
      <w:pPr>
        <w:jc w:val="right"/>
      </w:pPr>
      <w:r>
        <w:t>April 2</w:t>
      </w:r>
      <w:r w:rsidR="003B6207" w:rsidRPr="003B6207">
        <w:t xml:space="preserve">, </w:t>
      </w:r>
      <w:r>
        <w:t>2014</w:t>
      </w:r>
    </w:p>
    <w:p w:rsidR="003B6207" w:rsidRPr="003B6207" w:rsidRDefault="003B6207" w:rsidP="006B0EB6">
      <w:r w:rsidRPr="005A2902">
        <w:rPr>
          <w:b/>
        </w:rPr>
        <w:t>TO:</w:t>
      </w:r>
      <w:r>
        <w:tab/>
      </w:r>
      <w:r>
        <w:tab/>
      </w:r>
      <w:r w:rsidR="00207C49">
        <w:t>Richard Evans, Stephen Roark, and Mark Grueskin</w:t>
      </w:r>
    </w:p>
    <w:p w:rsidR="003B6207" w:rsidRPr="003B6207" w:rsidRDefault="003B6207" w:rsidP="006B0EB6">
      <w:r w:rsidRPr="005A2902">
        <w:rPr>
          <w:b/>
        </w:rPr>
        <w:t>FROM:</w:t>
      </w:r>
      <w:r w:rsidRPr="003B6207">
        <w:tab/>
        <w:t>Legislative Council Staff and Office of Legislative Legal Services</w:t>
      </w:r>
    </w:p>
    <w:p w:rsidR="003B6207" w:rsidRPr="003B6207" w:rsidRDefault="003B6207" w:rsidP="006B0EB6">
      <w:pPr>
        <w:ind w:left="1440" w:hanging="1440"/>
      </w:pPr>
      <w:r w:rsidRPr="005A2902">
        <w:rPr>
          <w:b/>
        </w:rPr>
        <w:t>SUBJECT:</w:t>
      </w:r>
      <w:r w:rsidR="003D554C">
        <w:tab/>
      </w:r>
      <w:r w:rsidRPr="003B6207">
        <w:t xml:space="preserve">Proposed initiative measure </w:t>
      </w:r>
      <w:r w:rsidR="00207C49">
        <w:t>2013-2014 #142</w:t>
      </w:r>
      <w:r w:rsidRPr="003B6207">
        <w:t xml:space="preserve">, concerning </w:t>
      </w:r>
      <w:r w:rsidR="00207C49">
        <w:t>Prohibition on Casino-style Gambling Monopolies</w:t>
      </w:r>
    </w:p>
    <w:p w:rsidR="003B6207" w:rsidRDefault="003B6207" w:rsidP="006B0EB6">
      <w:r>
        <w:t>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the appended proposed initiative.</w:t>
      </w:r>
    </w:p>
    <w:p w:rsidR="003B6207" w:rsidRDefault="003B6207" w:rsidP="006B0EB6">
      <w:r>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3B6207" w:rsidRDefault="003B6207" w:rsidP="006B0EB6">
      <w:r>
        <w:t xml:space="preserve">This initiative was submitted with a series of initiatives including proposed initiatives </w:t>
      </w:r>
      <w:r w:rsidR="005112C5">
        <w:rPr>
          <w:u w:val="single"/>
        </w:rPr>
        <w:t>2013-2014</w:t>
      </w:r>
      <w:r w:rsidRPr="003B6207">
        <w:rPr>
          <w:u w:val="single"/>
        </w:rPr>
        <w:t xml:space="preserve"> #</w:t>
      </w:r>
      <w:r w:rsidR="005112C5">
        <w:rPr>
          <w:u w:val="single"/>
        </w:rPr>
        <w:t>138</w:t>
      </w:r>
      <w:r>
        <w:t xml:space="preserve"> to </w:t>
      </w:r>
      <w:r w:rsidR="005112C5">
        <w:rPr>
          <w:u w:val="single"/>
        </w:rPr>
        <w:t>141</w:t>
      </w:r>
      <w:r>
        <w:t xml:space="preserve">. The comments and questions raised in this memorandum will not include comments and questions that were addressed in the memoranda for proposed initiatives </w:t>
      </w:r>
      <w:r w:rsidR="005112C5">
        <w:rPr>
          <w:u w:val="single"/>
        </w:rPr>
        <w:t>2013-2014</w:t>
      </w:r>
      <w:r w:rsidR="005112C5" w:rsidRPr="003B6207">
        <w:rPr>
          <w:u w:val="single"/>
        </w:rPr>
        <w:t xml:space="preserve"> #</w:t>
      </w:r>
      <w:r w:rsidR="005112C5">
        <w:rPr>
          <w:u w:val="single"/>
        </w:rPr>
        <w:t>138</w:t>
      </w:r>
      <w:r w:rsidR="005112C5">
        <w:t xml:space="preserve"> to </w:t>
      </w:r>
      <w:r w:rsidR="005112C5">
        <w:rPr>
          <w:u w:val="single"/>
        </w:rPr>
        <w:t>141</w:t>
      </w:r>
      <w:r>
        <w:t>, except as necessary to fully understand the issues raised by the revised proposed initiative. Comments and questions addressed in those other memoranda may also be relevant, and those questions and comments are hereby incorporated by reference in this memorandum. Only new comments and questions are included in this memorandum</w:t>
      </w:r>
      <w:r w:rsidR="005112C5">
        <w:t>.</w:t>
      </w:r>
    </w:p>
    <w:p w:rsidR="003B6207" w:rsidRPr="005A2902" w:rsidRDefault="003B6207" w:rsidP="00D13282">
      <w:pPr>
        <w:pStyle w:val="Heading1"/>
      </w:pPr>
      <w:r w:rsidRPr="005A2902">
        <w:lastRenderedPageBreak/>
        <w:t>Purposes</w:t>
      </w:r>
    </w:p>
    <w:p w:rsidR="003B6207" w:rsidRDefault="003B6207" w:rsidP="006B0EB6">
      <w:r>
        <w:t xml:space="preserve">The major purposes of the proposed amendment to the </w:t>
      </w:r>
      <w:r w:rsidRPr="00455F0B">
        <w:rPr>
          <w:b/>
        </w:rPr>
        <w:t xml:space="preserve">Colorado constitution </w:t>
      </w:r>
      <w:r>
        <w:t>appear to be:</w:t>
      </w:r>
    </w:p>
    <w:p w:rsidR="00996935" w:rsidRDefault="005A2902" w:rsidP="00996935">
      <w:pPr>
        <w:pStyle w:val="ListParagraph"/>
        <w:numPr>
          <w:ilvl w:val="0"/>
          <w:numId w:val="5"/>
        </w:numPr>
      </w:pPr>
      <w:r>
        <w:t xml:space="preserve"> </w:t>
      </w:r>
      <w:r w:rsidR="00996935">
        <w:t>To prohibit the state licensing authority from granting a license to conduct casino-style gambling if the license would result in a licensee's monopoly on one or more types of gambling within any county; and</w:t>
      </w:r>
    </w:p>
    <w:p w:rsidR="005A2902" w:rsidRDefault="00996935" w:rsidP="007A4E1F">
      <w:pPr>
        <w:pStyle w:val="ListParagraph"/>
        <w:numPr>
          <w:ilvl w:val="0"/>
          <w:numId w:val="5"/>
        </w:numPr>
      </w:pPr>
      <w:r>
        <w:t xml:space="preserve">To define casino-style gambling to include slot machines, poker, blackjack, craps, roulette, </w:t>
      </w:r>
      <w:r w:rsidR="007A4E1F">
        <w:t>and</w:t>
      </w:r>
      <w:r>
        <w:t xml:space="preserve"> video lottery terminals.</w:t>
      </w:r>
    </w:p>
    <w:p w:rsidR="003B6207" w:rsidRPr="005A2902" w:rsidRDefault="003B6207" w:rsidP="00D13282">
      <w:pPr>
        <w:pStyle w:val="Heading1"/>
      </w:pPr>
      <w:r w:rsidRPr="005A2902">
        <w:t>Technical Comments</w:t>
      </w:r>
    </w:p>
    <w:p w:rsidR="00455F0B" w:rsidRDefault="00CD312F" w:rsidP="00900104">
      <w:r>
        <w:t xml:space="preserve">There are no new technical comments, but the comments in the memoranda for </w:t>
      </w:r>
      <w:r w:rsidR="00900104">
        <w:t xml:space="preserve">proposed initiatives </w:t>
      </w:r>
      <w:r>
        <w:t>2013-2014 #138 to 141 apply.</w:t>
      </w:r>
    </w:p>
    <w:p w:rsidR="003B6207" w:rsidRPr="005A2902" w:rsidRDefault="003B6207" w:rsidP="00D13282">
      <w:pPr>
        <w:pStyle w:val="Heading1"/>
      </w:pPr>
      <w:r w:rsidRPr="005A2902">
        <w:t>Substantive Comments and Questions</w:t>
      </w:r>
    </w:p>
    <w:p w:rsidR="003B6207" w:rsidRDefault="003B6207" w:rsidP="006B0EB6">
      <w:r>
        <w:t>The substance of the proposed initiative raises the following comments and questions:</w:t>
      </w:r>
    </w:p>
    <w:p w:rsidR="00787C41" w:rsidRDefault="00787C41" w:rsidP="006B0EB6">
      <w:pPr>
        <w:pStyle w:val="ListParagraph"/>
        <w:numPr>
          <w:ilvl w:val="0"/>
          <w:numId w:val="4"/>
        </w:numPr>
      </w:pPr>
      <w:r>
        <w:t>Article V, section 1 (5.5) of the Colorado constitution requires all proposed initiatives to have a single subject. What is the single subject of the proposed initiative?</w:t>
      </w:r>
      <w:bookmarkStart w:id="0" w:name="_GoBack"/>
      <w:bookmarkEnd w:id="0"/>
    </w:p>
    <w:p w:rsidR="006B0EB6" w:rsidRDefault="007A4E1F" w:rsidP="007A4E1F">
      <w:pPr>
        <w:pStyle w:val="ListParagraph"/>
        <w:numPr>
          <w:ilvl w:val="0"/>
          <w:numId w:val="4"/>
        </w:numPr>
      </w:pPr>
      <w:r w:rsidRPr="007A4E1F">
        <w:t xml:space="preserve">Is the initiative intended to </w:t>
      </w:r>
      <w:r>
        <w:t>require revocation</w:t>
      </w:r>
      <w:r w:rsidRPr="007A4E1F">
        <w:t xml:space="preserve"> of a license issued to a </w:t>
      </w:r>
      <w:r>
        <w:t xml:space="preserve">person who </w:t>
      </w:r>
      <w:r w:rsidRPr="007A4E1F">
        <w:t>conduct</w:t>
      </w:r>
      <w:r>
        <w:t>s</w:t>
      </w:r>
      <w:r w:rsidRPr="007A4E1F">
        <w:t xml:space="preserve"> casino-style gambling </w:t>
      </w:r>
      <w:r>
        <w:t>and who</w:t>
      </w:r>
      <w:r w:rsidRPr="007A4E1F">
        <w:t xml:space="preserve"> becomes a monopoly?  In a county with only two casino-style gambling licensees, does the closure of the establishment(s) operated by one licensee result in the other licensee’s loss of license?</w:t>
      </w:r>
    </w:p>
    <w:p w:rsidR="00455F0B" w:rsidRDefault="007A4E1F" w:rsidP="00900104">
      <w:pPr>
        <w:pStyle w:val="ListParagraph"/>
        <w:numPr>
          <w:ilvl w:val="0"/>
          <w:numId w:val="4"/>
        </w:numPr>
      </w:pPr>
      <w:r w:rsidRPr="007A4E1F">
        <w:t>In a county without any casino-style gambling establishments, does the initiative prohibit a state agency from issuing a license to any applicant, since issuing a first license would at least temporarily result in a monopoly for the licensee?</w:t>
      </w:r>
    </w:p>
    <w:sectPr w:rsidR="00455F0B" w:rsidSect="005A2902">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04" w:rsidRDefault="00900104" w:rsidP="00245641">
      <w:r>
        <w:separator/>
      </w:r>
    </w:p>
  </w:endnote>
  <w:endnote w:type="continuationSeparator" w:id="0">
    <w:p w:rsidR="00900104" w:rsidRDefault="00900104"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641B746C-CE0A-49C2-9EA4-D11C2F69AA8F}"/>
    <w:embedBold r:id="rId2" w:fontKey="{39037061-F206-4AF1-BF06-2609B9A6495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embedRegular r:id="rId3" w:fontKey="{A6B2DC92-0F33-41EE-BD97-6367C5AABA9F}"/>
    <w:embedBold r:id="rId4" w:fontKey="{870A5B3A-32D7-4F11-999A-294BD7B33435}"/>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Pr="00AB10A3" w:rsidRDefault="00787C41" w:rsidP="00D13282">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2</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2</w:t>
        </w:r>
        <w:r w:rsidR="00A627FE" w:rsidRPr="00AB10A3">
          <w:rPr>
            <w:rFonts w:ascii="Times New Roman" w:hAnsi="Times New Roman"/>
            <w:bCs/>
            <w:sz w:val="24"/>
            <w:szCs w:val="24"/>
          </w:rPr>
          <w:fldChar w:fldCharType="end"/>
        </w:r>
      </w:sdtContent>
    </w:sdt>
  </w:p>
  <w:p w:rsidR="00D13282" w:rsidRPr="00D13282" w:rsidRDefault="005A2902" w:rsidP="00D13282">
    <w:pPr>
      <w:pStyle w:val="Footer"/>
      <w:spacing w:after="0"/>
      <w:rPr>
        <w:rFonts w:ascii="Times New Roman" w:hAnsi="Times New Roman" w:cs="Times New Roman"/>
      </w:rPr>
    </w:pPr>
    <w:r w:rsidRPr="005A2902">
      <w:rPr>
        <w:rFonts w:ascii="Times New Roman" w:hAnsi="Times New Roman" w:cs="Times New Roman"/>
        <w:sz w:val="16"/>
        <w:szCs w:val="16"/>
      </w:rPr>
      <w:fldChar w:fldCharType="begin"/>
    </w:r>
    <w:r w:rsidRPr="005A2902">
      <w:rPr>
        <w:rFonts w:ascii="Times New Roman" w:hAnsi="Times New Roman" w:cs="Times New Roman"/>
        <w:sz w:val="16"/>
        <w:szCs w:val="16"/>
      </w:rPr>
      <w:instrText xml:space="preserve"> FILENAME  \* Upper \p  \* MERGEFORMAT </w:instrText>
    </w:r>
    <w:r w:rsidRPr="005A2902">
      <w:rPr>
        <w:rFonts w:ascii="Times New Roman" w:hAnsi="Times New Roman" w:cs="Times New Roman"/>
        <w:sz w:val="16"/>
        <w:szCs w:val="16"/>
      </w:rPr>
      <w:fldChar w:fldCharType="separate"/>
    </w:r>
    <w:r w:rsidR="00900104">
      <w:rPr>
        <w:rFonts w:ascii="Times New Roman" w:hAnsi="Times New Roman" w:cs="Times New Roman"/>
        <w:noProof/>
        <w:sz w:val="16"/>
        <w:szCs w:val="16"/>
      </w:rPr>
      <w:t>DOCUMENT1</w:t>
    </w:r>
    <w:r w:rsidRPr="005A2902">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Default="00A627FE">
    <w:pPr>
      <w:pStyle w:val="Footer"/>
      <w:jc w:val="center"/>
    </w:pPr>
  </w:p>
  <w:p w:rsidR="00A627FE" w:rsidRDefault="00A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04" w:rsidRDefault="00900104" w:rsidP="00245641">
      <w:r>
        <w:separator/>
      </w:r>
    </w:p>
  </w:footnote>
  <w:footnote w:type="continuationSeparator" w:id="0">
    <w:p w:rsidR="00900104" w:rsidRDefault="00900104" w:rsidP="002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62336" behindDoc="0" locked="1" layoutInCell="1" allowOverlap="1" wp14:anchorId="7FC98D23" wp14:editId="72388613">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Dan L. Cartin,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Dan L. Cartin,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7D7C8B99" wp14:editId="2E0460CC">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Mike Mauer,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Mike Mauer,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79024175" wp14:editId="66960D0E">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60288" behindDoc="0" locked="1" layoutInCell="1" allowOverlap="1" wp14:anchorId="257FAD20" wp14:editId="2E2172B4">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6DE"/>
    <w:multiLevelType w:val="hybridMultilevel"/>
    <w:tmpl w:val="BE4635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34E71"/>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A6374"/>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04"/>
    <w:rsid w:val="000728AB"/>
    <w:rsid w:val="001C4E17"/>
    <w:rsid w:val="00207C49"/>
    <w:rsid w:val="00245641"/>
    <w:rsid w:val="002A22F3"/>
    <w:rsid w:val="002A5A4D"/>
    <w:rsid w:val="003B6207"/>
    <w:rsid w:val="003D554C"/>
    <w:rsid w:val="00455F0B"/>
    <w:rsid w:val="00471D75"/>
    <w:rsid w:val="004926FF"/>
    <w:rsid w:val="004D7222"/>
    <w:rsid w:val="004F0279"/>
    <w:rsid w:val="005112C5"/>
    <w:rsid w:val="005276D8"/>
    <w:rsid w:val="00557A93"/>
    <w:rsid w:val="005A2902"/>
    <w:rsid w:val="005C0038"/>
    <w:rsid w:val="006B0EB6"/>
    <w:rsid w:val="00787C41"/>
    <w:rsid w:val="007905EC"/>
    <w:rsid w:val="007A4E1F"/>
    <w:rsid w:val="007A624F"/>
    <w:rsid w:val="007F1D8B"/>
    <w:rsid w:val="008A2A2D"/>
    <w:rsid w:val="00900104"/>
    <w:rsid w:val="00945390"/>
    <w:rsid w:val="00996935"/>
    <w:rsid w:val="009D45C1"/>
    <w:rsid w:val="00A627FE"/>
    <w:rsid w:val="00AB10A3"/>
    <w:rsid w:val="00B1148D"/>
    <w:rsid w:val="00B930E3"/>
    <w:rsid w:val="00BA5E79"/>
    <w:rsid w:val="00BF34A7"/>
    <w:rsid w:val="00C10581"/>
    <w:rsid w:val="00C576CD"/>
    <w:rsid w:val="00C62563"/>
    <w:rsid w:val="00CD312F"/>
    <w:rsid w:val="00D0562A"/>
    <w:rsid w:val="00D1167B"/>
    <w:rsid w:val="00D13282"/>
    <w:rsid w:val="00D52F8E"/>
    <w:rsid w:val="00D635F2"/>
    <w:rsid w:val="00E0030A"/>
    <w:rsid w:val="00F66606"/>
    <w:rsid w:val="00FB0F15"/>
    <w:rsid w:val="00FF3750"/>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McCarthy</dc:creator>
  <cp:lastModifiedBy>Kate McCarthy</cp:lastModifiedBy>
  <cp:revision>2</cp:revision>
  <cp:lastPrinted>2014-03-31T21:01:00Z</cp:lastPrinted>
  <dcterms:created xsi:type="dcterms:W3CDTF">2014-04-02T14:13:00Z</dcterms:created>
  <dcterms:modified xsi:type="dcterms:W3CDTF">2014-04-02T16:32:00Z</dcterms:modified>
</cp:coreProperties>
</file>